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jc w:val="center"/>
        <w:rPr>
          <w:rFonts w:ascii="Futura PT Demi" w:hAnsi="Futura PT Demi" w:cs="Arial"/>
          <w:b/>
          <w:bCs/>
          <w:sz w:val="24"/>
          <w:szCs w:val="24"/>
        </w:rPr>
      </w:pPr>
      <w:r>
        <w:rPr>
          <w:rFonts w:ascii="Futura PT Demi" w:hAnsi="Futura PT Demi" w:cs="Arial"/>
          <w:b/>
          <w:bCs/>
          <w:sz w:val="24"/>
          <w:szCs w:val="24"/>
        </w:rPr>
        <w:t xml:space="preserve">INFC 215 – Infection Prevention and Control</w:t>
      </w:r>
      <w:r>
        <w:rPr>
          <w:rFonts w:ascii="Futura PT Demi" w:hAnsi="Futura PT Demi" w:cs="Arial"/>
          <w:b/>
          <w:bCs/>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after="100" w:afterAutospacing="1" w:before="100" w:beforeAutospacing="1" w:line="240" w:lineRule="auto"/>
        <w:ind/>
        <w:outlineLvl w:val="0"/>
        <w:rPr>
          <w:rFonts w:ascii="Futura PT Demi" w:hAnsi="Futura PT Demi" w:eastAsia="Times New Roman" w:cs="Times New Roman"/>
          <w:b/>
          <w:bCs/>
          <w:sz w:val="24"/>
          <w:szCs w:val="24"/>
          <w:lang w:eastAsia="en-CA"/>
        </w:rPr>
      </w:pPr>
      <w:r>
        <w:rPr>
          <w:rFonts w:ascii="Futura PT Demi" w:hAnsi="Futura PT Demi" w:eastAsia="Times New Roman" w:cs="Times New Roman"/>
          <w:b/>
          <w:bCs/>
          <w:sz w:val="24"/>
          <w:szCs w:val="24"/>
          <w:lang w:eastAsia="en-CA"/>
        </w:rPr>
        <w:t xml:space="preserve">Microbial Glossary</w:t>
      </w:r>
      <w:r>
        <w:rPr>
          <w:rFonts w:ascii="Futura PT Demi" w:hAnsi="Futura PT Demi"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FOR QUICK REFERENCE ONLY</w:t>
      </w:r>
      <w:r>
        <w:rPr>
          <w:rFonts w:ascii="Futura PT Book" w:hAnsi="Futura PT Book" w:eastAsia="Times New Roman" w:cs="Times New Roman"/>
          <w:b/>
          <w:bCs/>
          <w:sz w:val="24"/>
          <w:szCs w:val="24"/>
          <w:lang w:eastAsia="en-CA"/>
        </w:rPr>
        <w:t xml:space="preserve"> </w:t>
      </w:r>
      <w:r>
        <w:rPr>
          <w:rFonts w:ascii="Futura PT Book" w:hAnsi="Futura PT Book" w:eastAsia="Times New Roman" w:cs="Times New Roman"/>
          <w:i/>
          <w:iCs/>
          <w:sz w:val="24"/>
          <w:szCs w:val="24"/>
          <w:lang w:eastAsia="en-CA"/>
        </w:rPr>
        <w:t xml:space="preserve">NO OBJECTIVES. You do not need to learn </w:t>
      </w:r>
      <w:r>
        <w:rPr>
          <w:rFonts w:ascii="Futura PT Book" w:hAnsi="Futura PT Book" w:eastAsia="Times New Roman" w:cs="Times New Roman"/>
          <w:i/>
          <w:iCs/>
          <w:sz w:val="24"/>
          <w:szCs w:val="24"/>
          <w:lang w:eastAsia="en-CA"/>
        </w:rPr>
        <w:t xml:space="preserve">this</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Bacteria</w:t>
      </w:r>
      <w:r>
        <w:rPr>
          <w:rFonts w:ascii="Futura PT Book" w:hAnsi="Futura PT Book" w:eastAsia="Times New Roman" w:cs="Times New Roman"/>
          <w:b/>
          <w:bCs/>
          <w:sz w:val="24"/>
          <w:szCs w:val="24"/>
          <w:lang w:eastAsia="en-CA"/>
        </w:rPr>
      </w:r>
    </w:p>
    <w:tbl>
      <w:tblPr>
        <w:tblW w:w="4999" w:type="pct"/>
        <w:tblCellSpacing w:w="0" w:type="dxa"/>
        <w:tblBorders>
          <w:top w:val="single" w:color="auto" w:sz="6" w:space="0"/>
          <w:left w:val="single" w:color="auto" w:sz="6" w:space="0"/>
          <w:bottom w:val="single" w:color="auto" w:sz="6" w:space="0"/>
          <w:right w:val="single" w:color="auto" w:sz="6" w:space="0"/>
        </w:tblBorders>
        <w:tblCellMar>
          <w:left w:w="36" w:type="dxa"/>
          <w:top w:w="36" w:type="dxa"/>
          <w:right w:w="36" w:type="dxa"/>
          <w:bottom w:w="36" w:type="dxa"/>
        </w:tblCellMar>
        <w:tblLook w:val="04A0" w:firstRow="1" w:lastRow="0" w:firstColumn="1" w:lastColumn="0" w:noHBand="0" w:noVBand="1"/>
      </w:tblPr>
      <w:tblGrid>
        <w:gridCol w:w="2293"/>
        <w:gridCol w:w="1535"/>
        <w:gridCol w:w="5514"/>
      </w:tblGrid>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Name</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Gram reaction /shape</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Diseases</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Bordetella pertussis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Whooping cough;</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May lead to death.</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Campylobacter</w:t>
            </w:r>
            <w:r>
              <w:rPr>
                <w:rFonts w:ascii="Futura PT Book" w:hAnsi="Futura PT Book" w:eastAsia="Times New Roman" w:cs="Times New Roman"/>
                <w:sz w:val="24"/>
                <w:szCs w:val="24"/>
                <w:lang w:eastAsia="en-CA"/>
              </w:rPr>
              <w:t xml:space="preserve"> species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Gastroenteritis.</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Chlamydia trachomatis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 </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Conjunctivitis;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Sexually transmitted infection;</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Infant pneumonitis.</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Clostridium botulinum</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spores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anaerobe</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Botulism </w:t>
            </w:r>
            <w:r>
              <w:rPr>
                <w:rFonts w:ascii="Futura PT Book" w:hAnsi="Futura PT Book" w:eastAsia="Times New Roman" w:cs="Times New Roman"/>
                <w:sz w:val="24"/>
                <w:szCs w:val="24"/>
                <w:lang w:eastAsia="en-CA"/>
              </w:rPr>
              <w:t xml:space="preserve">( often</w:t>
            </w:r>
            <w:r>
              <w:rPr>
                <w:rFonts w:ascii="Futura PT Book" w:hAnsi="Futura PT Book" w:eastAsia="Times New Roman" w:cs="Times New Roman"/>
                <w:sz w:val="24"/>
                <w:szCs w:val="24"/>
                <w:lang w:eastAsia="en-CA"/>
              </w:rPr>
              <w:t xml:space="preserve"> fatal food poisoning);</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Wound infections;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Infant botulism ( floppy baby) – do feed honey to infants less than 1 year as botulism spores may be found in pasteurized honey – cannot sterilize honey as the temperature is too great.</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Clostridium difficile</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spores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anaerobe</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Pseudomembranous colitis – often follow antibiotic therapy that has destroyed the normal flora of the intestine.</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Clostridium perfringens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spores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anaerobe</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Gas gangrene;</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Food poisoning.</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Clostridium tetani</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spores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anaerobe</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Tetanus (lock jaw).</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Corynebacterium diphtheriae</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Diphtheria </w:t>
            </w:r>
            <w:r>
              <w:rPr>
                <w:rFonts w:ascii="Futura PT Book" w:hAnsi="Futura PT Book" w:eastAsia="Times New Roman" w:cs="Times New Roman"/>
                <w:sz w:val="24"/>
                <w:szCs w:val="24"/>
                <w:lang w:eastAsia="en-CA"/>
              </w:rPr>
              <w:t xml:space="preserve">( pharyngeal</w:t>
            </w:r>
            <w:r>
              <w:rPr>
                <w:rFonts w:ascii="Futura PT Book" w:hAnsi="Futura PT Book" w:eastAsia="Times New Roman" w:cs="Times New Roman"/>
                <w:sz w:val="24"/>
                <w:szCs w:val="24"/>
                <w:lang w:eastAsia="en-CA"/>
              </w:rPr>
              <w:t xml:space="preserve">, laryngeal and cutaneous).</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Escherichia coli</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Most types are normal flora of intestine;</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Urinary tract infections;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Some types - Traveler’s diarrhea;</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Nosocomial infections;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E. </w:t>
            </w:r>
            <w:r>
              <w:rPr>
                <w:rFonts w:ascii="Futura PT Book" w:hAnsi="Futura PT Book" w:eastAsia="Times New Roman" w:cs="Times New Roman"/>
                <w:sz w:val="24"/>
                <w:szCs w:val="24"/>
                <w:lang w:eastAsia="en-CA"/>
              </w:rPr>
              <w:t xml:space="preserve">coli  0157</w:t>
            </w:r>
            <w:r>
              <w:rPr>
                <w:rFonts w:ascii="Futura PT Book" w:hAnsi="Futura PT Book" w:eastAsia="Times New Roman" w:cs="Times New Roman"/>
                <w:sz w:val="24"/>
                <w:szCs w:val="24"/>
                <w:lang w:eastAsia="en-CA"/>
              </w:rPr>
              <w:t xml:space="preserve">:H7  - “hamburger disease”;</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May cause HUS –hemolytic uremic syndrome.</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Hemophilus influenzae</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some strains form capsules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Epiglottitis;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Meningitis </w:t>
            </w:r>
            <w:r>
              <w:rPr>
                <w:rFonts w:ascii="Futura PT Book" w:hAnsi="Futura PT Book" w:eastAsia="Times New Roman" w:cs="Times New Roman"/>
                <w:sz w:val="24"/>
                <w:szCs w:val="24"/>
                <w:lang w:eastAsia="en-CA"/>
              </w:rPr>
              <w:t xml:space="preserve">( children</w:t>
            </w:r>
            <w:r>
              <w:rPr>
                <w:rFonts w:ascii="Futura PT Book" w:hAnsi="Futura PT Book" w:eastAsia="Times New Roman" w:cs="Times New Roman"/>
                <w:sz w:val="24"/>
                <w:szCs w:val="24"/>
                <w:lang w:eastAsia="en-CA"/>
              </w:rPr>
              <w:t xml:space="preserve"> under 5);</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Ear infections;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Pneumonia;</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Pink eye.</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Lactobacillus </w:t>
            </w:r>
            <w:r>
              <w:rPr>
                <w:rFonts w:ascii="Futura PT Book" w:hAnsi="Futura PT Book" w:eastAsia="Times New Roman" w:cs="Times New Roman"/>
                <w:sz w:val="24"/>
                <w:szCs w:val="24"/>
                <w:lang w:eastAsia="en-CA"/>
              </w:rPr>
              <w:t xml:space="preserve">species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Normal flora of the vagina (pH5);</w:t>
            </w:r>
            <w:r>
              <w:rPr>
                <w:rFonts w:ascii="Futura PT Book" w:hAnsi="Futura PT Book" w:eastAsia="Times New Roman" w:cs="Times New Roman"/>
                <w:sz w:val="24"/>
                <w:szCs w:val="24"/>
                <w:lang w:eastAsia="en-CA"/>
              </w:rPr>
              <w:br/>
            </w:r>
            <w:r>
              <w:rPr>
                <w:rFonts w:ascii="Futura PT Book" w:hAnsi="Futura PT Book" w:eastAsia="Times New Roman" w:cs="Times New Roman"/>
                <w:i/>
                <w:iCs/>
                <w:sz w:val="24"/>
                <w:szCs w:val="24"/>
                <w:lang w:eastAsia="en-CA"/>
              </w:rPr>
              <w:t xml:space="preserve">Lactobacillus acidophilus</w:t>
            </w:r>
            <w:r>
              <w:rPr>
                <w:rFonts w:ascii="Futura PT Book" w:hAnsi="Futura PT Book" w:eastAsia="Times New Roman" w:cs="Times New Roman"/>
                <w:sz w:val="24"/>
                <w:szCs w:val="24"/>
                <w:lang w:eastAsia="en-CA"/>
              </w:rPr>
              <w:t xml:space="preserve"> is found in the mouth and plays a role in caries formation due to the production of large amounts of acid which decalcify the teeth;</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Some Lactobacillus species are used to make yogurt and are used as probiotics to re-establish bacterial flora in the vagina and intestine following antibiotic use.</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Legionella pneumophilia</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Legionnaires’ disease (pneumonia);</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Listeria monocytogenes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Bacteremia, focal infections;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Spontaneous abortion /fetal infection;</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Meningitis;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Acquired from unpasteurized dairy products, undercooked contaminated meat, contaminated vegetables.</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Mycobacterium tuberculosis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Does not gram stain</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“AFB’s”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Acid fast bacilli</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tuberculosis.</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Mycoplasma pneumonia</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NA</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Primary atypical pneumonia (cough, cough, cough).</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Neisseria gonorrhoeae</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 - c</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Gonorrhoeae;</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Arthritis;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Keratitis;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Opthalmia</w:t>
            </w:r>
            <w:r>
              <w:rPr>
                <w:rFonts w:ascii="Futura PT Book" w:hAnsi="Futura PT Book" w:eastAsia="Times New Roman" w:cs="Times New Roman"/>
                <w:sz w:val="24"/>
                <w:szCs w:val="24"/>
                <w:lang w:eastAsia="en-CA"/>
              </w:rPr>
              <w:t xml:space="preserve"> Neonatorum </w:t>
            </w:r>
            <w:r>
              <w:rPr>
                <w:rFonts w:ascii="Futura PT Book" w:hAnsi="Futura PT Book" w:eastAsia="Times New Roman" w:cs="Times New Roman"/>
                <w:sz w:val="24"/>
                <w:szCs w:val="24"/>
                <w:lang w:eastAsia="en-CA"/>
              </w:rPr>
              <w:t xml:space="preserve">( eye</w:t>
            </w:r>
            <w:r>
              <w:rPr>
                <w:rFonts w:ascii="Futura PT Book" w:hAnsi="Futura PT Book" w:eastAsia="Times New Roman" w:cs="Times New Roman"/>
                <w:sz w:val="24"/>
                <w:szCs w:val="24"/>
                <w:lang w:eastAsia="en-CA"/>
              </w:rPr>
              <w:t xml:space="preserve"> infection of newborn);</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Meningitis.</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Neisseria </w:t>
            </w:r>
            <w:r>
              <w:rPr>
                <w:rFonts w:ascii="Futura PT Book" w:hAnsi="Futura PT Book" w:eastAsia="Times New Roman" w:cs="Times New Roman"/>
                <w:i/>
                <w:iCs/>
                <w:sz w:val="24"/>
                <w:szCs w:val="24"/>
                <w:lang w:eastAsia="en-CA"/>
              </w:rPr>
              <w:t xml:space="preserve">menenigitidis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g-c</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Meningitis;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Waterhouse – Friderich syndrome </w:t>
            </w:r>
            <w:r>
              <w:rPr>
                <w:rFonts w:ascii="Futura PT Book" w:hAnsi="Futura PT Book" w:eastAsia="Times New Roman" w:cs="Times New Roman"/>
                <w:sz w:val="24"/>
                <w:szCs w:val="24"/>
                <w:lang w:eastAsia="en-CA"/>
              </w:rPr>
              <w:t xml:space="preserve">( organism</w:t>
            </w:r>
            <w:r>
              <w:rPr>
                <w:rFonts w:ascii="Futura PT Book" w:hAnsi="Futura PT Book" w:eastAsia="Times New Roman" w:cs="Times New Roman"/>
                <w:sz w:val="24"/>
                <w:szCs w:val="24"/>
                <w:lang w:eastAsia="en-CA"/>
              </w:rPr>
              <w:t xml:space="preserve"> invades all parts of the body and death occurs within hours due to shock).</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Pseudomonas aeruginosa</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Eye and ear (swimmer’s ear) infections;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Urinary tract infections;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Severe Skin infections - burn patients;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Mild skin infections </w:t>
            </w:r>
            <w:r>
              <w:rPr>
                <w:rFonts w:ascii="Futura PT Book" w:hAnsi="Futura PT Book" w:eastAsia="Times New Roman" w:cs="Times New Roman"/>
                <w:sz w:val="24"/>
                <w:szCs w:val="24"/>
                <w:lang w:eastAsia="en-CA"/>
              </w:rPr>
              <w:t xml:space="preserve">- .hot</w:t>
            </w:r>
            <w:r>
              <w:rPr>
                <w:rFonts w:ascii="Futura PT Book" w:hAnsi="Futura PT Book" w:eastAsia="Times New Roman" w:cs="Times New Roman"/>
                <w:sz w:val="24"/>
                <w:szCs w:val="24"/>
                <w:lang w:eastAsia="en-CA"/>
              </w:rPr>
              <w:t xml:space="preserve"> tubs;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Septicemia (immunocompromised patients);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Lung infections (cystic fibrosis patients);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Organism is very resistant to antibiotics.</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Salmonella</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Over 2,000 types;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Disease ranges from diarrhea due to food poisoning to severe typhoid fever.</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Shigella</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Shigellosis – diarrhea due to eating infected food.</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Staphylococcus aureus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Those strains resistant to Methicillin are called MRSA</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g+c</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Skin lesions – impetigo, boils, abscesses, scalded skin syndrome;</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Pericarditis;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Pneumonia;</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Osteomyelitis;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Food poisoning;</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Toxic Shock Syndrome.</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Staphylococcus epidermidis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g+c</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Skin lesions;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Urinary tract infections.</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Streptococcus mutans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g+c</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Converts glucose to </w:t>
            </w:r>
            <w:r>
              <w:rPr>
                <w:rFonts w:ascii="Futura PT Book" w:hAnsi="Futura PT Book" w:eastAsia="Times New Roman" w:cs="Times New Roman"/>
                <w:sz w:val="24"/>
                <w:szCs w:val="24"/>
                <w:lang w:eastAsia="en-CA"/>
              </w:rPr>
              <w:t xml:space="preserve">dextrans</w:t>
            </w:r>
            <w:r>
              <w:rPr>
                <w:rFonts w:ascii="Futura PT Book" w:hAnsi="Futura PT Book" w:eastAsia="Times New Roman" w:cs="Times New Roman"/>
                <w:sz w:val="24"/>
                <w:szCs w:val="24"/>
                <w:lang w:eastAsia="en-CA"/>
              </w:rPr>
              <w:t xml:space="preserve"> (the sticky part of dental plaque);</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Endocarditis in those with heart valve damage or prosthesis.</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Streptococcus pneumoniae</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g+c</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capsulated</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Pneumonia;</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Sinusitis;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Otitis media (ear inf);</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Meningitis.</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Streptococcus pyogenes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(Group A </w:t>
            </w:r>
            <w:r>
              <w:rPr>
                <w:rFonts w:ascii="Futura PT Book" w:hAnsi="Futura PT Book" w:eastAsia="Times New Roman" w:cs="Times New Roman"/>
                <w:sz w:val="24"/>
                <w:szCs w:val="24"/>
                <w:lang w:eastAsia="en-CA"/>
              </w:rPr>
              <w:t xml:space="preserve">Strept</w:t>
            </w:r>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g+c</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Pharyngitis;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Tonsillitis;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Skin lesions, erysipelas;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Puerperal fever (following childbirth);</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Scarlet fever;</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Necrotizing </w:t>
            </w:r>
            <w:r>
              <w:rPr>
                <w:rFonts w:ascii="Futura PT Book" w:hAnsi="Futura PT Book" w:eastAsia="Times New Roman" w:cs="Times New Roman"/>
                <w:sz w:val="24"/>
                <w:szCs w:val="24"/>
                <w:lang w:eastAsia="en-CA"/>
              </w:rPr>
              <w:t xml:space="preserve">fascitis</w:t>
            </w:r>
            <w:r>
              <w:rPr>
                <w:rFonts w:ascii="Futura PT Book" w:hAnsi="Futura PT Book" w:eastAsia="Times New Roman" w:cs="Times New Roman"/>
                <w:sz w:val="24"/>
                <w:szCs w:val="24"/>
                <w:lang w:eastAsia="en-CA"/>
              </w:rPr>
              <w:t xml:space="preserve"> (flesh eating disease);</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Rheumatic fever;</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Glomerulonephritis.</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Streptococcus</w:t>
            </w:r>
            <w:r>
              <w:rPr>
                <w:rFonts w:ascii="Futura PT Book" w:hAnsi="Futura PT Book" w:eastAsia="Times New Roman" w:cs="Times New Roman"/>
                <w:sz w:val="24"/>
                <w:szCs w:val="24"/>
                <w:lang w:eastAsia="en-CA"/>
              </w:rPr>
              <w:t xml:space="preserve"> species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(Enterococcus)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Some strains are resistant to Vancomycin (VRE)</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g+c</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Normal inhabitants of the intestine;</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May cause endocarditis, urinary tract infections, wound infections, meningitis.</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1136"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Treponema pallidum</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867"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g-spiral</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2995" w:type="pct"/>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Syphilis – may lead to neurological disorders/death;</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Congenital syphilis.</w:t>
            </w:r>
            <w:r>
              <w:rPr>
                <w:rFonts w:ascii="Futura PT Book" w:hAnsi="Futura PT Book" w:eastAsia="Times New Roman" w:cs="Times New Roman"/>
                <w:sz w:val="24"/>
                <w:szCs w:val="24"/>
                <w:lang w:eastAsia="en-CA"/>
              </w:rPr>
            </w:r>
          </w:p>
        </w:tc>
      </w:tr>
    </w:tbl>
    <w:p>
      <w:pPr>
        <w:pBdr/>
        <w:spacing w:after="100" w:afterAutospacing="1" w:before="100" w:beforeAutospacing="1" w:line="240" w:lineRule="auto"/>
        <w:ind/>
        <w:outlineLvl w:val="2"/>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Fungi</w:t>
      </w:r>
      <w:r>
        <w:rPr>
          <w:rFonts w:ascii="Futura PT Book" w:hAnsi="Futura PT Book" w:eastAsia="Times New Roman" w:cs="Times New Roman"/>
          <w:b/>
          <w:bCs/>
          <w:sz w:val="24"/>
          <w:szCs w:val="24"/>
          <w:lang w:eastAsia="en-CA"/>
        </w:rPr>
      </w:r>
    </w:p>
    <w:tbl>
      <w:tblPr>
        <w:tblW w:w="0" w:type="auto"/>
        <w:tblCellSpacing w:w="0" w:type="dxa"/>
        <w:tblBorders>
          <w:top w:val="single" w:color="auto" w:sz="6" w:space="0"/>
          <w:left w:val="single" w:color="auto" w:sz="6" w:space="0"/>
          <w:bottom w:val="single" w:color="auto" w:sz="6" w:space="0"/>
          <w:right w:val="single" w:color="auto" w:sz="6" w:space="0"/>
        </w:tblBorders>
        <w:tblCellMar>
          <w:left w:w="36" w:type="dxa"/>
          <w:top w:w="36" w:type="dxa"/>
          <w:right w:w="36" w:type="dxa"/>
          <w:bottom w:w="36" w:type="dxa"/>
        </w:tblCellMar>
        <w:tblLook w:val="04A0" w:firstRow="1" w:lastRow="0" w:firstColumn="1" w:lastColumn="0" w:noHBand="0" w:noVBand="1"/>
      </w:tblPr>
      <w:tblGrid>
        <w:gridCol w:w="2451"/>
        <w:gridCol w:w="6893"/>
      </w:tblGrid>
      <w:tr>
        <w:trPr>
          <w:tblCellSpacing w:w="0" w:type="dxa"/>
        </w:trPr>
        <w:tc>
          <w:tcPr>
            <w:tcBorders>
              <w:top w:val="single" w:color="auto" w:sz="6" w:space="0"/>
              <w:left w:val="single" w:color="auto" w:sz="6" w:space="0"/>
              <w:bottom w:val="single" w:color="auto" w:sz="6" w:space="0"/>
              <w:right w:val="single" w:color="auto" w:sz="6" w:space="0"/>
            </w:tcBorders>
            <w:tcW w:w="3120" w:type="dxa"/>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Name</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11325" w:type="dxa"/>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Diesease</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Candida albicans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“candidiasis” “moniliasis”;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“yeast infections”;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Vaginal infections;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Oral thrush;</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Skin infections;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Yeast diarrhea following removal of normal bacteria flora of the intestine with antibiotics.</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Pneumocystis carinii</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Pneumocystis </w:t>
            </w:r>
            <w:r>
              <w:rPr>
                <w:rFonts w:ascii="Futura PT Book" w:hAnsi="Futura PT Book" w:eastAsia="Times New Roman" w:cs="Times New Roman"/>
                <w:sz w:val="24"/>
                <w:szCs w:val="24"/>
                <w:lang w:eastAsia="en-CA"/>
              </w:rPr>
              <w:t xml:space="preserve">pneumonia;</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Organism is part of normal respiratory flora, but can cause pneumonia in the immunosuppressed.</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Epidermophyton, </w:t>
            </w:r>
            <w:r>
              <w:rPr>
                <w:rFonts w:ascii="Futura PT Book" w:hAnsi="Futura PT Book" w:eastAsia="Times New Roman" w:cs="Times New Roman"/>
                <w:i/>
                <w:iCs/>
                <w:sz w:val="24"/>
                <w:szCs w:val="24"/>
                <w:lang w:eastAsia="en-CA"/>
              </w:rPr>
              <w:t xml:space="preserve">Microsporum</w:t>
            </w:r>
            <w:r>
              <w:rPr>
                <w:rFonts w:ascii="Futura PT Book" w:hAnsi="Futura PT Book" w:eastAsia="Times New Roman" w:cs="Times New Roman"/>
                <w:i/>
                <w:iCs/>
                <w:sz w:val="24"/>
                <w:szCs w:val="24"/>
                <w:lang w:eastAsia="en-CA"/>
              </w:rPr>
              <w:t xml:space="preserve">’</w:t>
            </w:r>
            <w:r>
              <w:rPr>
                <w:rFonts w:ascii="Futura PT Book" w:hAnsi="Futura PT Book" w:eastAsia="Times New Roman" w:cs="Times New Roman"/>
                <w:sz w:val="24"/>
                <w:szCs w:val="24"/>
                <w:lang w:eastAsia="en-CA"/>
              </w:rPr>
              <w:br/>
            </w:r>
            <w:r>
              <w:rPr>
                <w:rFonts w:ascii="Futura PT Book" w:hAnsi="Futura PT Book" w:eastAsia="Times New Roman" w:cs="Times New Roman"/>
                <w:i/>
                <w:iCs/>
                <w:sz w:val="24"/>
                <w:szCs w:val="24"/>
                <w:lang w:eastAsia="en-CA"/>
              </w:rPr>
              <w:t xml:space="preserve">Trichophyton</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“Dermatophytes” - Cause infections of hair skin and nails because they can digest keratin;</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Ringworm</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Athlete’s foot.</w:t>
            </w:r>
            <w:r>
              <w:rPr>
                <w:rFonts w:ascii="Futura PT Book" w:hAnsi="Futura PT Book" w:eastAsia="Times New Roman" w:cs="Times New Roman"/>
                <w:sz w:val="24"/>
                <w:szCs w:val="24"/>
                <w:lang w:eastAsia="en-CA"/>
              </w:rPr>
            </w:r>
          </w:p>
        </w:tc>
      </w:tr>
    </w:tbl>
    <w:p>
      <w:pPr>
        <w:pBdr/>
        <w:spacing w:after="100" w:afterAutospacing="1" w:before="100" w:beforeAutospacing="1" w:line="240" w:lineRule="auto"/>
        <w:ind/>
        <w:outlineLvl w:val="2"/>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Viruses</w:t>
      </w:r>
      <w:r>
        <w:rPr>
          <w:rFonts w:ascii="Futura PT Book" w:hAnsi="Futura PT Book" w:eastAsia="Times New Roman" w:cs="Times New Roman"/>
          <w:b/>
          <w:bCs/>
          <w:sz w:val="24"/>
          <w:szCs w:val="24"/>
          <w:lang w:eastAsia="en-CA"/>
        </w:rPr>
      </w:r>
    </w:p>
    <w:tbl>
      <w:tblPr>
        <w:tblW w:w="0" w:type="auto"/>
        <w:tblCellSpacing w:w="0" w:type="dxa"/>
        <w:tblBorders>
          <w:top w:val="single" w:color="auto" w:sz="6" w:space="0"/>
          <w:left w:val="single" w:color="auto" w:sz="6" w:space="0"/>
          <w:bottom w:val="single" w:color="auto" w:sz="6" w:space="0"/>
          <w:right w:val="single" w:color="auto" w:sz="6" w:space="0"/>
        </w:tblBorders>
        <w:tblCellMar>
          <w:left w:w="36" w:type="dxa"/>
          <w:top w:w="36" w:type="dxa"/>
          <w:right w:w="36" w:type="dxa"/>
          <w:bottom w:w="36" w:type="dxa"/>
        </w:tblCellMar>
        <w:tblLook w:val="04A0" w:firstRow="1" w:lastRow="0" w:firstColumn="1" w:lastColumn="0" w:noHBand="0" w:noVBand="1"/>
      </w:tblPr>
      <w:tblGrid>
        <w:gridCol w:w="3062"/>
        <w:gridCol w:w="6282"/>
      </w:tblGrid>
      <w:tr>
        <w:trPr>
          <w:tblCellSpacing w:w="0" w:type="dxa"/>
        </w:trPr>
        <w:tc>
          <w:tcPr>
            <w:tcBorders>
              <w:top w:val="single" w:color="auto" w:sz="6" w:space="0"/>
              <w:left w:val="single" w:color="auto" w:sz="6" w:space="0"/>
              <w:bottom w:val="single" w:color="auto" w:sz="6" w:space="0"/>
              <w:right w:val="single" w:color="auto" w:sz="6" w:space="0"/>
            </w:tcBorders>
            <w:tcW w:w="3195" w:type="dxa"/>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Name</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6135" w:type="dxa"/>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Diesease</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Adenoviruses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Acute upper and lower respiratory tract disease;</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Pharyngitis;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Pneumonia;</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Conjunctivitis.</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Common cold</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200 different cold viruses;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Predominate at different times of the year;</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Rhinoviruses - Fall / spring;</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Parainfluenzae</w:t>
            </w:r>
            <w:r>
              <w:rPr>
                <w:rFonts w:ascii="Futura PT Book" w:hAnsi="Futura PT Book" w:eastAsia="Times New Roman" w:cs="Times New Roman"/>
                <w:sz w:val="24"/>
                <w:szCs w:val="24"/>
                <w:lang w:eastAsia="en-CA"/>
              </w:rPr>
              <w:t xml:space="preserve"> present all year but peaks in the summer;</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Corona viruses - December.</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Coxsackie viruses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Common cold syndrome;</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Severe systemic illness of children;</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Muscle pain and damage.</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Cytomegaloviruses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Birth defects.</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Ebola</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Hemorrhagic fever /death.</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Epstein - Barr</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Infectious mononucleosis;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Nasopharyngeal carcinoma;</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Burkitt’s lymphoma.</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Hanta</w:t>
            </w:r>
            <w:r>
              <w:rPr>
                <w:rFonts w:ascii="Futura PT Book" w:hAnsi="Futura PT Book" w:eastAsia="Times New Roman" w:cs="Times New Roman"/>
                <w:i/>
                <w:iCs/>
                <w:sz w:val="24"/>
                <w:szCs w:val="24"/>
                <w:lang w:eastAsia="en-CA"/>
              </w:rPr>
              <w:t xml:space="preserve"> virus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Pulmonary syndrome / 50% mortality rate.</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Hepatitis A</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t xml:space="preserve">infectious</w:t>
            </w:r>
            <w:r>
              <w:rPr>
                <w:rFonts w:ascii="Futura PT Book" w:hAnsi="Futura PT Book" w:eastAsia="Times New Roman" w:cs="Times New Roman"/>
                <w:sz w:val="24"/>
                <w:szCs w:val="24"/>
                <w:lang w:eastAsia="en-CA"/>
              </w:rPr>
              <w:t xml:space="preserve"> hepatitis” fecal /oral.</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Hepatitis B</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t xml:space="preserve">serum</w:t>
            </w:r>
            <w:r>
              <w:rPr>
                <w:rFonts w:ascii="Futura PT Book" w:hAnsi="Futura PT Book" w:eastAsia="Times New Roman" w:cs="Times New Roman"/>
                <w:sz w:val="24"/>
                <w:szCs w:val="24"/>
                <w:lang w:eastAsia="en-CA"/>
              </w:rPr>
              <w:t xml:space="preserve"> hepatitis” – blood and body fluids/ cross placenta.</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Sub clinical to severe – death due to fulminating hepatitis – liver cancer.</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Hepatitis C</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t xml:space="preserve">non</w:t>
            </w:r>
            <w:r>
              <w:rPr>
                <w:rFonts w:ascii="Futura PT Book" w:hAnsi="Futura PT Book" w:eastAsia="Times New Roman" w:cs="Times New Roman"/>
                <w:sz w:val="24"/>
                <w:szCs w:val="24"/>
                <w:lang w:eastAsia="en-CA"/>
              </w:rPr>
              <w:t xml:space="preserve"> A non B” –blood and blood products / cross placenta;</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Sub clinical to severe / liver cancer.</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Hepatitis D</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‘delta” – blood;</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must co-infect or superinfect with Hepatitis B;</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Severe – high mortality rate.</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Hepatitis E</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Fecal oral;</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Moderate disease but high mortality rate in </w:t>
            </w:r>
            <w:r>
              <w:rPr>
                <w:rFonts w:ascii="Futura PT Book" w:hAnsi="Futura PT Book" w:eastAsia="Times New Roman" w:cs="Times New Roman"/>
                <w:sz w:val="24"/>
                <w:szCs w:val="24"/>
                <w:lang w:eastAsia="en-CA"/>
              </w:rPr>
              <w:t xml:space="preserve">preganant</w:t>
            </w:r>
            <w:r>
              <w:rPr>
                <w:rFonts w:ascii="Futura PT Book" w:hAnsi="Futura PT Book" w:eastAsia="Times New Roman" w:cs="Times New Roman"/>
                <w:sz w:val="24"/>
                <w:szCs w:val="24"/>
                <w:lang w:eastAsia="en-CA"/>
              </w:rPr>
              <w:t xml:space="preserve"> women.</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Herpes viruses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Oral and genital herpes;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Cold sores;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Keratoconjunctivitis;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Whitlow (skin infection).</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HIV</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HIV infection;</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AIDS disease.</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Influenzae viruses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 type – severe pandemics;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B type – less severe local outbreaks;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Both types may be fatal.</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Mumps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Infection of parotid salivary glands;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May involve testes, ovaries, </w:t>
            </w:r>
            <w:r>
              <w:rPr>
                <w:rFonts w:ascii="Futura PT Book" w:hAnsi="Futura PT Book" w:eastAsia="Times New Roman" w:cs="Times New Roman"/>
                <w:sz w:val="24"/>
                <w:szCs w:val="24"/>
                <w:lang w:eastAsia="en-CA"/>
              </w:rPr>
              <w:t xml:space="preserve">pancreas</w:t>
            </w:r>
            <w:r>
              <w:rPr>
                <w:rFonts w:ascii="Futura PT Book" w:hAnsi="Futura PT Book" w:eastAsia="Times New Roman" w:cs="Times New Roman"/>
                <w:sz w:val="24"/>
                <w:szCs w:val="24"/>
                <w:lang w:eastAsia="en-CA"/>
              </w:rPr>
              <w:t xml:space="preserve"> and meninges.</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Polio virus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Poliomyelitis- affects nerves leading to muscles resulting in paralysis.</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Rubeola </w:t>
            </w:r>
            <w:r>
              <w:rPr>
                <w:rFonts w:ascii="Futura PT Book" w:hAnsi="Futura PT Book" w:eastAsia="Times New Roman" w:cs="Times New Roman"/>
                <w:i/>
                <w:iCs/>
                <w:sz w:val="24"/>
                <w:szCs w:val="24"/>
                <w:lang w:eastAsia="en-CA"/>
              </w:rPr>
              <w:t xml:space="preserve">( Red</w:t>
            </w:r>
            <w:r>
              <w:rPr>
                <w:rFonts w:ascii="Futura PT Book" w:hAnsi="Futura PT Book" w:eastAsia="Times New Roman" w:cs="Times New Roman"/>
                <w:i/>
                <w:iCs/>
                <w:sz w:val="24"/>
                <w:szCs w:val="24"/>
                <w:lang w:eastAsia="en-CA"/>
              </w:rPr>
              <w:t xml:space="preserve"> measles)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Angry red rash;</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Secondary bacterial ear infections;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Encephalitis;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SSPE </w:t>
            </w:r>
            <w:r>
              <w:rPr>
                <w:rFonts w:ascii="Futura PT Book" w:hAnsi="Futura PT Book" w:eastAsia="Times New Roman" w:cs="Times New Roman"/>
                <w:sz w:val="24"/>
                <w:szCs w:val="24"/>
                <w:lang w:eastAsia="en-CA"/>
              </w:rPr>
              <w:t xml:space="preserve">( sub</w:t>
            </w:r>
            <w:r>
              <w:rPr>
                <w:rFonts w:ascii="Futura PT Book" w:hAnsi="Futura PT Book" w:eastAsia="Times New Roman" w:cs="Times New Roman"/>
                <w:sz w:val="24"/>
                <w:szCs w:val="24"/>
                <w:lang w:eastAsia="en-CA"/>
              </w:rPr>
              <w:t xml:space="preserve"> sclerosing pan encephalitis) fatal complication.</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Rubella </w:t>
            </w:r>
            <w:r>
              <w:rPr>
                <w:rFonts w:ascii="Futura PT Book" w:hAnsi="Futura PT Book" w:eastAsia="Times New Roman" w:cs="Times New Roman"/>
                <w:i/>
                <w:iCs/>
                <w:sz w:val="24"/>
                <w:szCs w:val="24"/>
                <w:lang w:eastAsia="en-CA"/>
              </w:rPr>
              <w:t xml:space="preserve">( German</w:t>
            </w:r>
            <w:r>
              <w:rPr>
                <w:rFonts w:ascii="Futura PT Book" w:hAnsi="Futura PT Book" w:eastAsia="Times New Roman" w:cs="Times New Roman"/>
                <w:i/>
                <w:iCs/>
                <w:sz w:val="24"/>
                <w:szCs w:val="24"/>
                <w:lang w:eastAsia="en-CA"/>
              </w:rPr>
              <w:t xml:space="preserve"> measles)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Mild red rash;</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Often subclinical;</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Congenital defects if cross placenta in first trimester.</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SARS</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Severe Acute Respiratory Syndrome;</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Caused by a Corona Virus;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Resulted in the deaths of 44 people in Toronto in 2003.</w:t>
            </w:r>
            <w:r>
              <w:rPr>
                <w:rFonts w:ascii="Futura PT Book" w:hAnsi="Futura PT Book" w:eastAsia="Times New Roman" w:cs="Times New Roman"/>
                <w:sz w:val="24"/>
                <w:szCs w:val="24"/>
                <w:lang w:eastAsia="en-CA"/>
              </w:rPr>
            </w:r>
          </w:p>
        </w:tc>
      </w:tr>
    </w:tbl>
    <w:p>
      <w:pPr>
        <w:pBdr/>
        <w:spacing w:after="100" w:afterAutospacing="1" w:before="100" w:beforeAutospacing="1" w:line="240" w:lineRule="auto"/>
        <w:ind/>
        <w:outlineLvl w:val="2"/>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Prions</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“Proteinaceous Infectious Particles” resistant to most procedures that modify nucleic acid and referred to as “prions”. They are not classified as microbes such as protozoa, bacteria, </w:t>
      </w:r>
      <w:r>
        <w:rPr>
          <w:rFonts w:ascii="Futura PT Book" w:hAnsi="Futura PT Book" w:eastAsia="Times New Roman" w:cs="Times New Roman"/>
          <w:sz w:val="24"/>
          <w:szCs w:val="24"/>
          <w:lang w:eastAsia="en-CA"/>
        </w:rPr>
        <w:t xml:space="preserve">rickettsias</w:t>
      </w:r>
      <w:r>
        <w:rPr>
          <w:rFonts w:ascii="Futura PT Book" w:hAnsi="Futura PT Book" w:eastAsia="Times New Roman" w:cs="Times New Roman"/>
          <w:sz w:val="24"/>
          <w:szCs w:val="24"/>
          <w:lang w:eastAsia="en-CA"/>
        </w:rPr>
        <w:t xml:space="preserve"> and viruses. Prions are communicable agents which replicate slowly. Animal diseases such as </w:t>
      </w:r>
      <w:r>
        <w:rPr>
          <w:rFonts w:ascii="Futura PT Book" w:hAnsi="Futura PT Book" w:eastAsia="Times New Roman" w:cs="Times New Roman"/>
          <w:sz w:val="24"/>
          <w:szCs w:val="24"/>
          <w:lang w:eastAsia="en-CA"/>
        </w:rPr>
        <w:t xml:space="preserve">visna</w:t>
      </w:r>
      <w:r>
        <w:rPr>
          <w:rFonts w:ascii="Futura PT Book" w:hAnsi="Futura PT Book" w:eastAsia="Times New Roman" w:cs="Times New Roman"/>
          <w:sz w:val="24"/>
          <w:szCs w:val="24"/>
          <w:lang w:eastAsia="en-CA"/>
        </w:rPr>
        <w:t xml:space="preserve"> and scrapie are caused by prions.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In humans, Kuru and Creutzfeldt-Jako</w:t>
      </w:r>
      <w:r>
        <w:rPr>
          <w:rFonts w:ascii="Futura PT Book" w:hAnsi="Futura PT Book" w:eastAsia="Times New Roman" w:cs="Times New Roman"/>
          <w:sz w:val="24"/>
          <w:szCs w:val="24"/>
          <w:lang w:eastAsia="en-CA"/>
        </w:rPr>
        <w:t xml:space="preserve">b disease are called spongiform encephalopathies due to the appearance of the CNS upon examination. The agents are transmissible in eye or brain tissue to humans and other primates. Months or years later, the disease will progress until death has occurred.</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Due to cannibalism, Kuru was once </w:t>
      </w:r>
      <w:r>
        <w:rPr>
          <w:rFonts w:ascii="Futura PT Book" w:hAnsi="Futura PT Book" w:eastAsia="Times New Roman" w:cs="Times New Roman"/>
          <w:sz w:val="24"/>
          <w:szCs w:val="24"/>
          <w:lang w:eastAsia="en-CA"/>
        </w:rPr>
        <w:t xml:space="preserve">prevelent</w:t>
      </w:r>
      <w:r>
        <w:rPr>
          <w:rFonts w:ascii="Futura PT Book" w:hAnsi="Futura PT Book" w:eastAsia="Times New Roman" w:cs="Times New Roman"/>
          <w:sz w:val="24"/>
          <w:szCs w:val="24"/>
          <w:lang w:eastAsia="en-CA"/>
        </w:rPr>
        <w:t xml:space="preserve"> in central New Guinea.</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Cruetzfeldt</w:t>
      </w:r>
      <w:r>
        <w:rPr>
          <w:rFonts w:ascii="Futura PT Book" w:hAnsi="Futura PT Book" w:eastAsia="Times New Roman" w:cs="Times New Roman"/>
          <w:sz w:val="24"/>
          <w:szCs w:val="24"/>
          <w:lang w:eastAsia="en-CA"/>
        </w:rPr>
        <w:t xml:space="preserve"> – Jakob disease usually develops in late middle age presenting with rapid</w:t>
      </w:r>
      <w:r>
        <w:rPr>
          <w:rFonts w:ascii="Futura PT Book" w:hAnsi="Futura PT Book" w:eastAsia="Times New Roman" w:cs="Times New Roman"/>
          <w:sz w:val="24"/>
          <w:szCs w:val="24"/>
          <w:lang w:eastAsia="en-CA"/>
        </w:rPr>
        <w:t xml:space="preserve">ly progressing dementia and other neurological features affecting the motor neurons. There is no definitive risk, but in 15% of the cases there is a family history. There is no specific treatment. Prevention includes avoidance of contaminated brain tissue,</w:t>
      </w:r>
      <w:r>
        <w:rPr>
          <w:rFonts w:ascii="Futura PT Book" w:hAnsi="Futura PT Book" w:eastAsia="Times New Roman" w:cs="Times New Roman"/>
          <w:sz w:val="24"/>
          <w:szCs w:val="24"/>
          <w:lang w:eastAsia="en-CA"/>
        </w:rPr>
        <w:t xml:space="preserve"> electrodes, neurosurgical instruments, or by avoiding transplants of corneas, dura, or cadaveric growth hormone from infected donors. Contaminated equipment is often discarded as autoclaving of instruments requires prolong time and increased temperatures.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Variant </w:t>
      </w:r>
      <w:r>
        <w:rPr>
          <w:rFonts w:ascii="Futura PT Book" w:hAnsi="Futura PT Book" w:eastAsia="Times New Roman" w:cs="Times New Roman"/>
          <w:sz w:val="24"/>
          <w:szCs w:val="24"/>
          <w:lang w:eastAsia="en-CA"/>
        </w:rPr>
        <w:t xml:space="preserve">Cruetzfeldt</w:t>
      </w:r>
      <w:r>
        <w:rPr>
          <w:rFonts w:ascii="Futura PT Book" w:hAnsi="Futura PT Book" w:eastAsia="Times New Roman" w:cs="Times New Roman"/>
          <w:sz w:val="24"/>
          <w:szCs w:val="24"/>
          <w:lang w:eastAsia="en-CA"/>
        </w:rPr>
        <w:t xml:space="preserve"> Jakob dis</w:t>
      </w:r>
      <w:r>
        <w:rPr>
          <w:rFonts w:ascii="Futura PT Book" w:hAnsi="Futura PT Book" w:eastAsia="Times New Roman" w:cs="Times New Roman"/>
          <w:sz w:val="24"/>
          <w:szCs w:val="24"/>
          <w:lang w:eastAsia="en-CA"/>
        </w:rPr>
        <w:t xml:space="preserve">ease emerged in Britain, affecting young people who presented with non-classic CJD symptoms and electroencephalograms.  The cause is believed to be due to the ingestion of beef infected with BSE (bovine spongiform encephalopathy).  BSE originally resulted </w:t>
      </w:r>
      <w:r>
        <w:rPr>
          <w:rFonts w:ascii="Futura PT Book" w:hAnsi="Futura PT Book" w:eastAsia="Times New Roman" w:cs="Times New Roman"/>
          <w:sz w:val="24"/>
          <w:szCs w:val="24"/>
          <w:lang w:eastAsia="en-CA"/>
        </w:rPr>
        <w:t xml:space="preserve">from feeding of scrapie infected sheep parts to cattle as protein supplements. Infected cattle parts were subsequently used in the production of </w:t>
      </w:r>
      <w:r>
        <w:rPr>
          <w:rFonts w:ascii="Futura PT Book" w:hAnsi="Futura PT Book" w:eastAsia="Times New Roman" w:cs="Times New Roman"/>
          <w:sz w:val="24"/>
          <w:szCs w:val="24"/>
          <w:lang w:eastAsia="en-CA"/>
        </w:rPr>
        <w:t xml:space="preserve">catle</w:t>
      </w:r>
      <w:r>
        <w:rPr>
          <w:rFonts w:ascii="Futura PT Book" w:hAnsi="Futura PT Book" w:eastAsia="Times New Roman" w:cs="Times New Roman"/>
          <w:sz w:val="24"/>
          <w:szCs w:val="24"/>
          <w:lang w:eastAsia="en-CA"/>
        </w:rPr>
        <w:t xml:space="preserve"> feed.</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Chronic Wasting Disease found in deer and elk is also apparently caused by prions, but there has not been a link to human diseased.</w:t>
      </w:r>
      <w:r>
        <w:rPr>
          <w:rFonts w:ascii="Futura PT Book" w:hAnsi="Futura PT Book" w:eastAsia="Batang"/>
          <w:sz w:val="24"/>
          <w:szCs w:val="24"/>
        </w:rPr>
      </w:r>
      <w:r>
        <w:rPr>
          <w:rFonts w:ascii="Futura PT Book" w:hAnsi="Futura PT Book" w:eastAsia="Times New Roman" w:cs="Times New Roman"/>
          <w:sz w:val="24"/>
          <w:szCs w:val="24"/>
          <w:lang w:eastAsia="en-CA"/>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atang">
    <w:panose1 w:val="02020603020101020101"/>
  </w:font>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50"/>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752"/>
            <w:pBdr/>
            <w:bidi w:val="false"/>
            <w:spacing/>
            <w:ind w:left="-115"/>
            <w:jc w:val="left"/>
            <w:rPr/>
          </w:pPr>
          <w:r/>
          <w:r/>
        </w:p>
      </w:tc>
      <w:tc>
        <w:tcPr>
          <w:tcBorders/>
          <w:tcW w:w="3120" w:type="dxa"/>
          <w:textDirection w:val="lrTb"/>
          <w:noWrap w:val="false"/>
        </w:tcPr>
        <w:p>
          <w:pPr>
            <w:pStyle w:val="752"/>
            <w:pBdr/>
            <w:bidi w:val="false"/>
            <w:spacing/>
            <w:ind/>
            <w:jc w:val="center"/>
            <w:rPr/>
          </w:pPr>
          <w:r/>
          <w:r/>
        </w:p>
      </w:tc>
      <w:tc>
        <w:tcPr>
          <w:tcBorders/>
          <w:tcW w:w="3120" w:type="dxa"/>
          <w:textDirection w:val="lrTb"/>
          <w:noWrap w:val="false"/>
        </w:tcPr>
        <w:p>
          <w:pPr>
            <w:pStyle w:val="752"/>
            <w:pBdr/>
            <w:bidi w:val="false"/>
            <w:spacing/>
            <w:ind w:right="-115"/>
            <w:jc w:val="right"/>
            <w:rPr/>
          </w:pPr>
          <w:r/>
          <w:r/>
        </w:p>
      </w:tc>
    </w:tr>
  </w:tbl>
  <w:p>
    <w:pPr>
      <w:pStyle w:val="754"/>
      <w:pBdr/>
      <w:bidi w:val="false"/>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Bdr/>
      <w:spacing/>
      <w:ind/>
      <w:jc w:val="center"/>
      <w:rPr/>
    </w:pPr>
    <w:r/>
    <w:r>
      <w:rPr>
        <w:lang w:val="en-US"/>
      </w:rPr>
      <mc:AlternateContent>
        <mc:Choice Requires="wpg">
          <w:drawing>
            <wp:inline xmlns:wp="http://schemas.openxmlformats.org/drawingml/2006/wordprocessingDrawing" distT="0" distB="0" distL="0" distR="0">
              <wp:extent cx="737870" cy="790575"/>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88765" name="Picture 1" descr="C:\Users\Fayyaz\Downloads\Eden-Brook-College-1.png"/>
                      <pic:cNvPicPr>
                        <a:picLocks noChangeAspect="1"/>
                      </pic:cNvPicPr>
                      <pic:nvPr/>
                    </pic:nvPicPr>
                    <pic:blipFill>
                      <a:blip r:embed="rId1"/>
                      <a:stretch/>
                    </pic:blipFill>
                    <pic:spPr bwMode="auto">
                      <a:xfrm rot="0" flipH="0" flipV="0">
                        <a:off x="0" y="0"/>
                        <a:ext cx="737869" cy="79057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8.10pt;height:62.25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num w:numId="1">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5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5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50"/>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5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5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5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50"/>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5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5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5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5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5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5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5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5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5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5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5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5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5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5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5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5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5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5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5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5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50"/>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50"/>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50"/>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50"/>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50"/>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50"/>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50"/>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50"/>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50"/>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5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50"/>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5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50"/>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50"/>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50"/>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50"/>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50"/>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50"/>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50"/>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50"/>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50"/>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50"/>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50"/>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50"/>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50"/>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50"/>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50"/>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50"/>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5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50"/>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5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50"/>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5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50"/>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50"/>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5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50"/>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50"/>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50"/>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50"/>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50"/>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50"/>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50"/>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50"/>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50"/>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50"/>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50"/>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50"/>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50"/>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50"/>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50"/>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50"/>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50"/>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50"/>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50"/>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50"/>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50"/>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50"/>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50"/>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50"/>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50"/>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50"/>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50"/>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50"/>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50"/>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50"/>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50"/>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50"/>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50"/>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50"/>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50"/>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5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5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5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5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5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5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44"/>
    <w:next w:val="744"/>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6"/>
    <w:basedOn w:val="744"/>
    <w:next w:val="744"/>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44"/>
    <w:next w:val="744"/>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44"/>
    <w:next w:val="744"/>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44"/>
    <w:next w:val="744"/>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49"/>
    <w:link w:val="141"/>
    <w:uiPriority w:val="9"/>
    <w:pPr>
      <w:pBdr/>
      <w:spacing/>
      <w:ind/>
    </w:pPr>
    <w:rPr>
      <w:rFonts w:ascii="Arial" w:hAnsi="Arial" w:eastAsia="Arial" w:cs="Arial"/>
      <w:i/>
      <w:iCs/>
      <w:color w:val="0f4761" w:themeColor="accent1" w:themeShade="BF"/>
    </w:rPr>
  </w:style>
  <w:style w:type="character" w:styleId="154">
    <w:name w:val="Heading 6 Char"/>
    <w:basedOn w:val="749"/>
    <w:link w:val="143"/>
    <w:uiPriority w:val="9"/>
    <w:pPr>
      <w:pBdr/>
      <w:spacing/>
      <w:ind/>
    </w:pPr>
    <w:rPr>
      <w:rFonts w:ascii="Arial" w:hAnsi="Arial" w:eastAsia="Arial" w:cs="Arial"/>
      <w:i/>
      <w:iCs/>
      <w:color w:val="595959" w:themeColor="text1" w:themeTint="A6"/>
    </w:rPr>
  </w:style>
  <w:style w:type="character" w:styleId="155">
    <w:name w:val="Heading 7 Char"/>
    <w:basedOn w:val="749"/>
    <w:link w:val="144"/>
    <w:uiPriority w:val="9"/>
    <w:pPr>
      <w:pBdr/>
      <w:spacing/>
      <w:ind/>
    </w:pPr>
    <w:rPr>
      <w:rFonts w:ascii="Arial" w:hAnsi="Arial" w:eastAsia="Arial" w:cs="Arial"/>
      <w:color w:val="595959" w:themeColor="text1" w:themeTint="A6"/>
    </w:rPr>
  </w:style>
  <w:style w:type="character" w:styleId="156">
    <w:name w:val="Heading 8 Char"/>
    <w:basedOn w:val="749"/>
    <w:link w:val="145"/>
    <w:uiPriority w:val="9"/>
    <w:pPr>
      <w:pBdr/>
      <w:spacing/>
      <w:ind/>
    </w:pPr>
    <w:rPr>
      <w:rFonts w:ascii="Arial" w:hAnsi="Arial" w:eastAsia="Arial" w:cs="Arial"/>
      <w:i/>
      <w:iCs/>
      <w:color w:val="272727" w:themeColor="text1" w:themeTint="D8"/>
    </w:rPr>
  </w:style>
  <w:style w:type="character" w:styleId="157">
    <w:name w:val="Heading 9 Char"/>
    <w:basedOn w:val="749"/>
    <w:link w:val="146"/>
    <w:uiPriority w:val="9"/>
    <w:pPr>
      <w:pBdr/>
      <w:spacing/>
      <w:ind/>
    </w:pPr>
    <w:rPr>
      <w:rFonts w:ascii="Arial" w:hAnsi="Arial" w:eastAsia="Arial" w:cs="Arial"/>
      <w:i/>
      <w:iCs/>
      <w:color w:val="272727" w:themeColor="text1" w:themeTint="D8"/>
    </w:rPr>
  </w:style>
  <w:style w:type="paragraph" w:styleId="158">
    <w:name w:val="Title"/>
    <w:basedOn w:val="744"/>
    <w:next w:val="744"/>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49"/>
    <w:link w:val="158"/>
    <w:uiPriority w:val="10"/>
    <w:pPr>
      <w:pBdr/>
      <w:spacing/>
      <w:ind/>
    </w:pPr>
    <w:rPr>
      <w:rFonts w:ascii="Arial" w:hAnsi="Arial" w:eastAsia="Arial" w:cs="Arial"/>
      <w:spacing w:val="-10"/>
      <w:sz w:val="56"/>
      <w:szCs w:val="56"/>
    </w:rPr>
  </w:style>
  <w:style w:type="paragraph" w:styleId="160">
    <w:name w:val="Subtitle"/>
    <w:basedOn w:val="744"/>
    <w:next w:val="744"/>
    <w:link w:val="161"/>
    <w:uiPriority w:val="11"/>
    <w:qFormat/>
    <w:pPr>
      <w:numPr>
        <w:ilvl w:val="1"/>
      </w:numPr>
      <w:pBdr/>
      <w:spacing/>
      <w:ind/>
    </w:pPr>
    <w:rPr>
      <w:color w:val="595959" w:themeColor="text1" w:themeTint="A6"/>
      <w:spacing w:val="15"/>
      <w:sz w:val="28"/>
      <w:szCs w:val="28"/>
    </w:rPr>
  </w:style>
  <w:style w:type="character" w:styleId="161">
    <w:name w:val="Subtitle Char"/>
    <w:basedOn w:val="749"/>
    <w:link w:val="160"/>
    <w:uiPriority w:val="11"/>
    <w:pPr>
      <w:pBdr/>
      <w:spacing/>
      <w:ind/>
    </w:pPr>
    <w:rPr>
      <w:color w:val="595959" w:themeColor="text1" w:themeTint="A6"/>
      <w:spacing w:val="15"/>
      <w:sz w:val="28"/>
      <w:szCs w:val="28"/>
    </w:rPr>
  </w:style>
  <w:style w:type="paragraph" w:styleId="162">
    <w:name w:val="Quote"/>
    <w:basedOn w:val="744"/>
    <w:next w:val="744"/>
    <w:link w:val="163"/>
    <w:uiPriority w:val="29"/>
    <w:qFormat/>
    <w:pPr>
      <w:pBdr/>
      <w:spacing w:before="160"/>
      <w:ind/>
      <w:jc w:val="center"/>
    </w:pPr>
    <w:rPr>
      <w:i/>
      <w:iCs/>
      <w:color w:val="404040" w:themeColor="text1" w:themeTint="BF"/>
    </w:rPr>
  </w:style>
  <w:style w:type="character" w:styleId="163">
    <w:name w:val="Quote Char"/>
    <w:basedOn w:val="749"/>
    <w:link w:val="162"/>
    <w:uiPriority w:val="29"/>
    <w:pPr>
      <w:pBdr/>
      <w:spacing/>
      <w:ind/>
    </w:pPr>
    <w:rPr>
      <w:i/>
      <w:iCs/>
      <w:color w:val="404040" w:themeColor="text1" w:themeTint="BF"/>
    </w:rPr>
  </w:style>
  <w:style w:type="character" w:styleId="165">
    <w:name w:val="Intense Emphasis"/>
    <w:basedOn w:val="749"/>
    <w:uiPriority w:val="21"/>
    <w:qFormat/>
    <w:pPr>
      <w:pBdr/>
      <w:spacing/>
      <w:ind/>
    </w:pPr>
    <w:rPr>
      <w:i/>
      <w:iCs/>
      <w:color w:val="0f4761" w:themeColor="accent1" w:themeShade="BF"/>
    </w:rPr>
  </w:style>
  <w:style w:type="paragraph" w:styleId="166">
    <w:name w:val="Intense Quote"/>
    <w:basedOn w:val="744"/>
    <w:next w:val="744"/>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49"/>
    <w:link w:val="166"/>
    <w:uiPriority w:val="30"/>
    <w:pPr>
      <w:pBdr/>
      <w:spacing/>
      <w:ind/>
    </w:pPr>
    <w:rPr>
      <w:i/>
      <w:iCs/>
      <w:color w:val="0f4761" w:themeColor="accent1" w:themeShade="BF"/>
    </w:rPr>
  </w:style>
  <w:style w:type="character" w:styleId="168">
    <w:name w:val="Intense Reference"/>
    <w:basedOn w:val="749"/>
    <w:uiPriority w:val="32"/>
    <w:qFormat/>
    <w:pPr>
      <w:pBdr/>
      <w:spacing/>
      <w:ind/>
    </w:pPr>
    <w:rPr>
      <w:b/>
      <w:bCs/>
      <w:smallCaps/>
      <w:color w:val="0f4761" w:themeColor="accent1" w:themeShade="BF"/>
      <w:spacing w:val="5"/>
    </w:rPr>
  </w:style>
  <w:style w:type="character" w:styleId="170">
    <w:name w:val="Subtle Emphasis"/>
    <w:basedOn w:val="749"/>
    <w:uiPriority w:val="19"/>
    <w:qFormat/>
    <w:pPr>
      <w:pBdr/>
      <w:spacing/>
      <w:ind/>
    </w:pPr>
    <w:rPr>
      <w:i/>
      <w:iCs/>
      <w:color w:val="404040" w:themeColor="text1" w:themeTint="BF"/>
    </w:rPr>
  </w:style>
  <w:style w:type="character" w:styleId="171">
    <w:name w:val="Emphasis"/>
    <w:basedOn w:val="749"/>
    <w:uiPriority w:val="20"/>
    <w:qFormat/>
    <w:pPr>
      <w:pBdr/>
      <w:spacing/>
      <w:ind/>
    </w:pPr>
    <w:rPr>
      <w:i/>
      <w:iCs/>
    </w:rPr>
  </w:style>
  <w:style w:type="character" w:styleId="172">
    <w:name w:val="Strong"/>
    <w:basedOn w:val="749"/>
    <w:uiPriority w:val="22"/>
    <w:qFormat/>
    <w:pPr>
      <w:pBdr/>
      <w:spacing/>
      <w:ind/>
    </w:pPr>
    <w:rPr>
      <w:b/>
      <w:bCs/>
    </w:rPr>
  </w:style>
  <w:style w:type="character" w:styleId="173">
    <w:name w:val="Subtle Reference"/>
    <w:basedOn w:val="749"/>
    <w:uiPriority w:val="31"/>
    <w:qFormat/>
    <w:pPr>
      <w:pBdr/>
      <w:spacing/>
      <w:ind/>
    </w:pPr>
    <w:rPr>
      <w:smallCaps/>
      <w:color w:val="5a5a5a" w:themeColor="text1" w:themeTint="A5"/>
    </w:rPr>
  </w:style>
  <w:style w:type="character" w:styleId="174">
    <w:name w:val="Book Title"/>
    <w:basedOn w:val="749"/>
    <w:uiPriority w:val="33"/>
    <w:qFormat/>
    <w:pPr>
      <w:pBdr/>
      <w:spacing/>
      <w:ind/>
    </w:pPr>
    <w:rPr>
      <w:b/>
      <w:bCs/>
      <w:i/>
      <w:iCs/>
      <w:spacing w:val="5"/>
    </w:rPr>
  </w:style>
  <w:style w:type="paragraph" w:styleId="179">
    <w:name w:val="Caption"/>
    <w:basedOn w:val="744"/>
    <w:next w:val="744"/>
    <w:uiPriority w:val="35"/>
    <w:unhideWhenUsed/>
    <w:qFormat/>
    <w:pPr>
      <w:pBdr/>
      <w:spacing w:after="200" w:line="240" w:lineRule="auto"/>
      <w:ind/>
    </w:pPr>
    <w:rPr>
      <w:i/>
      <w:iCs/>
      <w:color w:val="0e2841" w:themeColor="text2"/>
      <w:sz w:val="18"/>
      <w:szCs w:val="18"/>
    </w:rPr>
  </w:style>
  <w:style w:type="paragraph" w:styleId="180">
    <w:name w:val="footnote text"/>
    <w:basedOn w:val="744"/>
    <w:link w:val="181"/>
    <w:uiPriority w:val="99"/>
    <w:semiHidden/>
    <w:unhideWhenUsed/>
    <w:pPr>
      <w:pBdr/>
      <w:spacing w:after="0" w:line="240" w:lineRule="auto"/>
      <w:ind/>
    </w:pPr>
    <w:rPr>
      <w:sz w:val="20"/>
      <w:szCs w:val="20"/>
    </w:rPr>
  </w:style>
  <w:style w:type="character" w:styleId="181">
    <w:name w:val="Footnote Text Char"/>
    <w:basedOn w:val="749"/>
    <w:link w:val="180"/>
    <w:uiPriority w:val="99"/>
    <w:semiHidden/>
    <w:pPr>
      <w:pBdr/>
      <w:spacing/>
      <w:ind/>
    </w:pPr>
    <w:rPr>
      <w:sz w:val="20"/>
      <w:szCs w:val="20"/>
    </w:rPr>
  </w:style>
  <w:style w:type="character" w:styleId="182">
    <w:name w:val="footnote reference"/>
    <w:basedOn w:val="749"/>
    <w:uiPriority w:val="99"/>
    <w:semiHidden/>
    <w:unhideWhenUsed/>
    <w:pPr>
      <w:pBdr/>
      <w:spacing/>
      <w:ind/>
    </w:pPr>
    <w:rPr>
      <w:vertAlign w:val="superscript"/>
    </w:rPr>
  </w:style>
  <w:style w:type="paragraph" w:styleId="183">
    <w:name w:val="endnote text"/>
    <w:basedOn w:val="744"/>
    <w:link w:val="184"/>
    <w:uiPriority w:val="99"/>
    <w:semiHidden/>
    <w:unhideWhenUsed/>
    <w:pPr>
      <w:pBdr/>
      <w:spacing w:after="0" w:line="240" w:lineRule="auto"/>
      <w:ind/>
    </w:pPr>
    <w:rPr>
      <w:sz w:val="20"/>
      <w:szCs w:val="20"/>
    </w:rPr>
  </w:style>
  <w:style w:type="character" w:styleId="184">
    <w:name w:val="Endnote Text Char"/>
    <w:basedOn w:val="749"/>
    <w:link w:val="183"/>
    <w:uiPriority w:val="99"/>
    <w:semiHidden/>
    <w:pPr>
      <w:pBdr/>
      <w:spacing/>
      <w:ind/>
    </w:pPr>
    <w:rPr>
      <w:sz w:val="20"/>
      <w:szCs w:val="20"/>
    </w:rPr>
  </w:style>
  <w:style w:type="character" w:styleId="185">
    <w:name w:val="endnote reference"/>
    <w:basedOn w:val="749"/>
    <w:uiPriority w:val="99"/>
    <w:semiHidden/>
    <w:unhideWhenUsed/>
    <w:pPr>
      <w:pBdr/>
      <w:spacing/>
      <w:ind/>
    </w:pPr>
    <w:rPr>
      <w:vertAlign w:val="superscript"/>
    </w:rPr>
  </w:style>
  <w:style w:type="character" w:styleId="186">
    <w:name w:val="Hyperlink"/>
    <w:basedOn w:val="749"/>
    <w:uiPriority w:val="99"/>
    <w:unhideWhenUsed/>
    <w:pPr>
      <w:pBdr/>
      <w:spacing/>
      <w:ind/>
    </w:pPr>
    <w:rPr>
      <w:color w:val="0563c1" w:themeColor="hyperlink"/>
      <w:u w:val="single"/>
    </w:rPr>
  </w:style>
  <w:style w:type="character" w:styleId="187">
    <w:name w:val="FollowedHyperlink"/>
    <w:basedOn w:val="749"/>
    <w:uiPriority w:val="99"/>
    <w:semiHidden/>
    <w:unhideWhenUsed/>
    <w:pPr>
      <w:pBdr/>
      <w:spacing/>
      <w:ind/>
    </w:pPr>
    <w:rPr>
      <w:color w:val="954f72" w:themeColor="followedHyperlink"/>
      <w:u w:val="single"/>
    </w:rPr>
  </w:style>
  <w:style w:type="paragraph" w:styleId="188">
    <w:name w:val="toc 1"/>
    <w:basedOn w:val="744"/>
    <w:next w:val="744"/>
    <w:uiPriority w:val="39"/>
    <w:unhideWhenUsed/>
    <w:pPr>
      <w:pBdr/>
      <w:spacing w:after="100"/>
      <w:ind/>
    </w:pPr>
  </w:style>
  <w:style w:type="paragraph" w:styleId="189">
    <w:name w:val="toc 2"/>
    <w:basedOn w:val="744"/>
    <w:next w:val="744"/>
    <w:uiPriority w:val="39"/>
    <w:unhideWhenUsed/>
    <w:pPr>
      <w:pBdr/>
      <w:spacing w:after="100"/>
      <w:ind w:left="220"/>
    </w:pPr>
  </w:style>
  <w:style w:type="paragraph" w:styleId="190">
    <w:name w:val="toc 3"/>
    <w:basedOn w:val="744"/>
    <w:next w:val="744"/>
    <w:uiPriority w:val="39"/>
    <w:unhideWhenUsed/>
    <w:pPr>
      <w:pBdr/>
      <w:spacing w:after="100"/>
      <w:ind w:left="440"/>
    </w:pPr>
  </w:style>
  <w:style w:type="paragraph" w:styleId="191">
    <w:name w:val="toc 4"/>
    <w:basedOn w:val="744"/>
    <w:next w:val="744"/>
    <w:uiPriority w:val="39"/>
    <w:unhideWhenUsed/>
    <w:pPr>
      <w:pBdr/>
      <w:spacing w:after="100"/>
      <w:ind w:left="660"/>
    </w:pPr>
  </w:style>
  <w:style w:type="paragraph" w:styleId="192">
    <w:name w:val="toc 5"/>
    <w:basedOn w:val="744"/>
    <w:next w:val="744"/>
    <w:uiPriority w:val="39"/>
    <w:unhideWhenUsed/>
    <w:pPr>
      <w:pBdr/>
      <w:spacing w:after="100"/>
      <w:ind w:left="880"/>
    </w:pPr>
  </w:style>
  <w:style w:type="paragraph" w:styleId="193">
    <w:name w:val="toc 6"/>
    <w:basedOn w:val="744"/>
    <w:next w:val="744"/>
    <w:uiPriority w:val="39"/>
    <w:unhideWhenUsed/>
    <w:pPr>
      <w:pBdr/>
      <w:spacing w:after="100"/>
      <w:ind w:left="1100"/>
    </w:pPr>
  </w:style>
  <w:style w:type="paragraph" w:styleId="194">
    <w:name w:val="toc 7"/>
    <w:basedOn w:val="744"/>
    <w:next w:val="744"/>
    <w:uiPriority w:val="39"/>
    <w:unhideWhenUsed/>
    <w:pPr>
      <w:pBdr/>
      <w:spacing w:after="100"/>
      <w:ind w:left="1320"/>
    </w:pPr>
  </w:style>
  <w:style w:type="paragraph" w:styleId="195">
    <w:name w:val="toc 8"/>
    <w:basedOn w:val="744"/>
    <w:next w:val="744"/>
    <w:uiPriority w:val="39"/>
    <w:unhideWhenUsed/>
    <w:pPr>
      <w:pBdr/>
      <w:spacing w:after="100"/>
      <w:ind w:left="1540"/>
    </w:pPr>
  </w:style>
  <w:style w:type="paragraph" w:styleId="196">
    <w:name w:val="toc 9"/>
    <w:basedOn w:val="744"/>
    <w:next w:val="744"/>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44"/>
    <w:next w:val="744"/>
    <w:uiPriority w:val="99"/>
    <w:unhideWhenUsed/>
    <w:pPr>
      <w:pBdr/>
      <w:spacing w:after="0" w:afterAutospacing="0"/>
      <w:ind/>
    </w:pPr>
  </w:style>
  <w:style w:type="paragraph" w:styleId="744" w:default="1">
    <w:name w:val="Normal"/>
    <w:qFormat/>
    <w:pPr>
      <w:pBdr/>
      <w:spacing/>
      <w:ind/>
    </w:pPr>
  </w:style>
  <w:style w:type="paragraph" w:styleId="745">
    <w:name w:val="Heading 1"/>
    <w:basedOn w:val="744"/>
    <w:link w:val="759"/>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46">
    <w:name w:val="Heading 2"/>
    <w:basedOn w:val="744"/>
    <w:next w:val="744"/>
    <w:link w:val="760"/>
    <w:qFormat/>
    <w:pPr>
      <w:keepNext w:val="true"/>
      <w:pBdr/>
      <w:spacing w:after="0" w:line="240" w:lineRule="auto"/>
      <w:ind/>
      <w:jc w:val="center"/>
      <w:outlineLvl w:val="1"/>
    </w:pPr>
    <w:rPr>
      <w:rFonts w:ascii="Arial" w:hAnsi="Arial" w:eastAsia="SimSun" w:cs="Arial"/>
      <w:b/>
      <w:bCs/>
      <w:sz w:val="24"/>
      <w:szCs w:val="24"/>
      <w:lang w:val="en-US"/>
    </w:rPr>
  </w:style>
  <w:style w:type="paragraph" w:styleId="747">
    <w:name w:val="Heading 3"/>
    <w:basedOn w:val="744"/>
    <w:next w:val="744"/>
    <w:link w:val="768"/>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748">
    <w:name w:val="Heading 5"/>
    <w:basedOn w:val="744"/>
    <w:next w:val="744"/>
    <w:link w:val="769"/>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749" w:default="1">
    <w:name w:val="Default Paragraph Font"/>
    <w:uiPriority w:val="1"/>
    <w:semiHidden/>
    <w:unhideWhenUsed/>
    <w:pPr>
      <w:pBdr/>
      <w:spacing/>
      <w:ind/>
    </w:pPr>
  </w:style>
  <w:style w:type="table" w:styleId="750"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51" w:default="1">
    <w:name w:val="No List"/>
    <w:uiPriority w:val="99"/>
    <w:semiHidden/>
    <w:unhideWhenUsed/>
    <w:pPr>
      <w:pBdr/>
      <w:spacing/>
      <w:ind/>
    </w:pPr>
  </w:style>
  <w:style w:type="paragraph" w:styleId="752">
    <w:name w:val="Header"/>
    <w:basedOn w:val="744"/>
    <w:link w:val="753"/>
    <w:uiPriority w:val="99"/>
    <w:unhideWhenUsed/>
    <w:pPr>
      <w:pBdr/>
      <w:tabs>
        <w:tab w:val="center" w:leader="none" w:pos="4680"/>
        <w:tab w:val="right" w:leader="none" w:pos="9360"/>
      </w:tabs>
      <w:spacing w:after="0" w:line="240" w:lineRule="auto"/>
      <w:ind/>
    </w:pPr>
  </w:style>
  <w:style w:type="character" w:styleId="753" w:customStyle="1">
    <w:name w:val="Header Char"/>
    <w:basedOn w:val="749"/>
    <w:link w:val="752"/>
    <w:uiPriority w:val="99"/>
    <w:pPr>
      <w:pBdr/>
      <w:spacing/>
      <w:ind/>
    </w:pPr>
  </w:style>
  <w:style w:type="paragraph" w:styleId="754">
    <w:name w:val="Footer"/>
    <w:basedOn w:val="744"/>
    <w:link w:val="755"/>
    <w:uiPriority w:val="99"/>
    <w:unhideWhenUsed/>
    <w:pPr>
      <w:pBdr/>
      <w:tabs>
        <w:tab w:val="center" w:leader="none" w:pos="4680"/>
        <w:tab w:val="right" w:leader="none" w:pos="9360"/>
      </w:tabs>
      <w:spacing w:after="0" w:line="240" w:lineRule="auto"/>
      <w:ind/>
    </w:pPr>
  </w:style>
  <w:style w:type="character" w:styleId="755" w:customStyle="1">
    <w:name w:val="Footer Char"/>
    <w:basedOn w:val="749"/>
    <w:link w:val="754"/>
    <w:uiPriority w:val="99"/>
    <w:pPr>
      <w:pBdr/>
      <w:spacing/>
      <w:ind/>
    </w:pPr>
  </w:style>
  <w:style w:type="table" w:styleId="756" w:customStyle="1">
    <w:name w:val="Proposal Table"/>
    <w:basedOn w:val="750"/>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57">
    <w:name w:val="Placeholder Text"/>
    <w:basedOn w:val="749"/>
    <w:uiPriority w:val="99"/>
    <w:semiHidden/>
    <w:pPr>
      <w:pBdr/>
      <w:spacing/>
      <w:ind/>
    </w:pPr>
    <w:rPr>
      <w:color w:val="595959" w:themeColor="text1" w:themeTint="A6"/>
    </w:rPr>
  </w:style>
  <w:style w:type="paragraph" w:styleId="758">
    <w:name w:val="Normal (Web)"/>
    <w:basedOn w:val="744"/>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59" w:customStyle="1">
    <w:name w:val="Heading 1 Char"/>
    <w:basedOn w:val="749"/>
    <w:link w:val="745"/>
    <w:uiPriority w:val="9"/>
    <w:pPr>
      <w:pBdr/>
      <w:spacing/>
      <w:ind/>
    </w:pPr>
    <w:rPr>
      <w:rFonts w:ascii="Arial" w:hAnsi="Arial" w:eastAsia="Arial" w:cs="Arial"/>
      <w:b/>
      <w:bCs/>
      <w:sz w:val="18"/>
      <w:szCs w:val="18"/>
      <w:lang w:val="en-US"/>
    </w:rPr>
  </w:style>
  <w:style w:type="character" w:styleId="760" w:customStyle="1">
    <w:name w:val="Heading 2 Char"/>
    <w:basedOn w:val="749"/>
    <w:link w:val="746"/>
    <w:pPr>
      <w:pBdr/>
      <w:spacing/>
      <w:ind/>
    </w:pPr>
    <w:rPr>
      <w:rFonts w:ascii="Arial" w:hAnsi="Arial" w:eastAsia="SimSun" w:cs="Arial"/>
      <w:b/>
      <w:bCs/>
      <w:sz w:val="24"/>
      <w:szCs w:val="24"/>
      <w:lang w:val="en-US"/>
    </w:rPr>
  </w:style>
  <w:style w:type="table" w:styleId="761">
    <w:name w:val="Table Grid"/>
    <w:basedOn w:val="750"/>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62">
    <w:name w:val="Body Text"/>
    <w:basedOn w:val="744"/>
    <w:link w:val="763"/>
    <w:qFormat/>
    <w:pPr>
      <w:widowControl w:val="false"/>
      <w:pBdr/>
      <w:spacing w:after="0" w:line="240" w:lineRule="auto"/>
      <w:ind w:hanging="360" w:left="462"/>
    </w:pPr>
    <w:rPr>
      <w:rFonts w:ascii="Cambria" w:hAnsi="Cambria" w:eastAsia="Cambria"/>
      <w:lang w:val="en-US"/>
    </w:rPr>
  </w:style>
  <w:style w:type="character" w:styleId="763" w:customStyle="1">
    <w:name w:val="Body Text Char"/>
    <w:basedOn w:val="749"/>
    <w:link w:val="762"/>
    <w:pPr>
      <w:pBdr/>
      <w:spacing/>
      <w:ind/>
    </w:pPr>
    <w:rPr>
      <w:rFonts w:ascii="Cambria" w:hAnsi="Cambria" w:eastAsia="Cambria"/>
      <w:lang w:val="en-US"/>
    </w:rPr>
  </w:style>
  <w:style w:type="paragraph" w:styleId="764" w:customStyle="1">
    <w:name w:val="Table Paragraph"/>
    <w:basedOn w:val="744"/>
    <w:uiPriority w:val="1"/>
    <w:qFormat/>
    <w:pPr>
      <w:widowControl w:val="false"/>
      <w:pBdr/>
      <w:spacing w:after="0" w:line="240" w:lineRule="auto"/>
      <w:ind/>
    </w:pPr>
    <w:rPr>
      <w:lang w:val="en-US"/>
    </w:rPr>
  </w:style>
  <w:style w:type="paragraph" w:styleId="765">
    <w:name w:val="No Spacing"/>
    <w:link w:val="766"/>
    <w:uiPriority w:val="1"/>
    <w:qFormat/>
    <w:pPr>
      <w:pBdr/>
      <w:spacing w:after="0" w:line="240" w:lineRule="auto"/>
      <w:ind/>
    </w:pPr>
    <w:rPr>
      <w:lang w:val="en-US"/>
    </w:rPr>
  </w:style>
  <w:style w:type="character" w:styleId="766" w:customStyle="1">
    <w:name w:val="No Spacing Char"/>
    <w:link w:val="765"/>
    <w:uiPriority w:val="1"/>
    <w:pPr>
      <w:pBdr/>
      <w:spacing/>
      <w:ind/>
    </w:pPr>
    <w:rPr>
      <w:lang w:val="en-US"/>
    </w:rPr>
  </w:style>
  <w:style w:type="paragraph" w:styleId="767">
    <w:name w:val="List Paragraph"/>
    <w:basedOn w:val="744"/>
    <w:uiPriority w:val="1"/>
    <w:qFormat/>
    <w:pPr>
      <w:pBdr/>
      <w:spacing/>
      <w:ind w:left="720"/>
      <w:contextualSpacing w:val="true"/>
    </w:pPr>
  </w:style>
  <w:style w:type="character" w:styleId="768" w:customStyle="1">
    <w:name w:val="Heading 3 Char"/>
    <w:basedOn w:val="749"/>
    <w:link w:val="747"/>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769" w:customStyle="1">
    <w:name w:val="Heading 5 Char"/>
    <w:basedOn w:val="749"/>
    <w:link w:val="748"/>
    <w:uiPriority w:val="9"/>
    <w:semiHidden/>
    <w:pPr>
      <w:pBdr/>
      <w:spacing/>
      <w:ind/>
    </w:pPr>
    <w:rPr>
      <w:rFonts w:asciiTheme="majorHAnsi" w:hAnsiTheme="majorHAnsi" w:eastAsiaTheme="majorEastAsia" w:cstheme="majorBidi"/>
      <w:color w:val="2f5496" w:themeColor="accent1" w:themeShade="B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F0809F-A92C-402F-8FD6-4E3E00C3CAA9}"/>
</file>

<file path=customXml/itemProps2.xml><?xml version="1.0" encoding="utf-8"?>
<ds:datastoreItem xmlns:ds="http://schemas.openxmlformats.org/officeDocument/2006/customXml" ds:itemID="{E94EEE27-D394-4A3E-9E47-C527B49068D6}"/>
</file>

<file path=customXml/itemProps3.xml><?xml version="1.0" encoding="utf-8"?>
<ds:datastoreItem xmlns:ds="http://schemas.openxmlformats.org/officeDocument/2006/customXml" ds:itemID="{FCC768DA-02C8-4516-8F42-491DE5B4F01E}"/>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2025-07-04T19:44:43Z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