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pPr>
      <w:r>
        <w:t xml:space="preserve">                                                                                                                                                          </w:t>
      </w:r>
      <w:r/>
    </w:p>
    <w:p>
      <w:pPr>
        <w:pBdr/>
        <w:spacing/>
        <w:ind/>
        <w:jc w:val="center"/>
        <w:rPr>
          <w:sz w:val="32"/>
          <w:szCs w:val="32"/>
        </w:rPr>
      </w:pPr>
      <w:r>
        <w:rPr>
          <w:sz w:val="32"/>
          <w:szCs w:val="32"/>
        </w:rPr>
        <w:t xml:space="preserve"> Worksheet</w:t>
      </w:r>
      <w:r>
        <w:rPr>
          <w:sz w:val="32"/>
          <w:szCs w:val="32"/>
        </w:rPr>
        <w:t xml:space="preserve">:</w:t>
      </w:r>
      <w:r>
        <w:rPr>
          <w:sz w:val="32"/>
          <w:szCs w:val="32"/>
        </w:rPr>
        <w:t xml:space="preserve"> </w:t>
      </w:r>
      <w:r>
        <w:rPr>
          <w:sz w:val="32"/>
          <w:szCs w:val="32"/>
        </w:rPr>
        <w:t xml:space="preserve">CAMRT What is Consent?</w:t>
      </w:r>
      <w:r>
        <w:rPr>
          <w:sz w:val="32"/>
          <w:szCs w:val="32"/>
        </w:rPr>
        <w:t xml:space="preserve"> – ANSWER KEY</w:t>
      </w:r>
      <w:r>
        <w:rPr>
          <w:sz w:val="32"/>
          <w:szCs w:val="32"/>
        </w:rPr>
      </w:r>
    </w:p>
    <w:p>
      <w:pPr>
        <w:pBdr/>
        <w:spacing/>
        <w:ind/>
        <w:rPr/>
      </w:pPr>
      <w:r/>
      <w:r/>
    </w:p>
    <w:p>
      <w:pPr>
        <w:pStyle w:val="712"/>
        <w:numPr>
          <w:ilvl w:val="0"/>
          <w:numId w:val="1"/>
        </w:numPr>
        <w:pBdr/>
        <w:spacing/>
        <w:ind/>
        <w:rPr/>
      </w:pPr>
      <w:r>
        <w:t xml:space="preserve">Is the language used to answer patient’s questions about an exam important? If so, why?</w:t>
      </w:r>
      <w:r/>
    </w:p>
    <w:p>
      <w:pPr>
        <w:pStyle w:val="712"/>
        <w:pBdr/>
        <w:spacing/>
        <w:ind/>
        <w:rPr/>
      </w:pPr>
      <w:r>
        <w:rPr>
          <w:b/>
          <w:i/>
          <w:color w:val="7030a0"/>
        </w:rPr>
        <w:t xml:space="preserve">Yes, the language used to answer a patient’s question is important. If medical terminology or industry vocabulary is used, the patient will not comprehend the answer which most often leads to additional anxiety and lack of trust</w:t>
      </w:r>
      <w:r>
        <w:t xml:space="preserve">. </w:t>
      </w:r>
      <w:r/>
    </w:p>
    <w:p>
      <w:pPr>
        <w:pStyle w:val="712"/>
        <w:pBdr/>
        <w:spacing/>
        <w:ind/>
        <w:rPr>
          <w:b/>
          <w:color w:val="7030a0"/>
        </w:rPr>
      </w:pPr>
      <w:r>
        <w:rPr>
          <w:b/>
          <w:color w:val="7030a0"/>
        </w:rPr>
      </w:r>
      <w:r>
        <w:rPr>
          <w:b/>
          <w:color w:val="7030a0"/>
        </w:rPr>
      </w:r>
    </w:p>
    <w:p>
      <w:pPr>
        <w:pStyle w:val="712"/>
        <w:pBdr/>
        <w:spacing/>
        <w:ind/>
        <w:rPr>
          <w:b/>
          <w:color w:val="7030a0"/>
        </w:rPr>
      </w:pPr>
      <w:r>
        <w:rPr>
          <w:b/>
          <w:color w:val="7030a0"/>
        </w:rPr>
      </w:r>
      <w:r>
        <w:rPr>
          <w:b/>
          <w:color w:val="7030a0"/>
        </w:rPr>
      </w:r>
    </w:p>
    <w:p>
      <w:pPr>
        <w:pStyle w:val="712"/>
        <w:pBdr/>
        <w:spacing/>
        <w:ind/>
        <w:rPr>
          <w:b/>
          <w:color w:val="7030a0"/>
        </w:rPr>
      </w:pPr>
      <w:r>
        <w:rPr>
          <w:b/>
          <w:color w:val="7030a0"/>
        </w:rPr>
      </w:r>
      <w:r>
        <w:rPr>
          <w:b/>
          <w:color w:val="7030a0"/>
        </w:rPr>
      </w:r>
    </w:p>
    <w:p>
      <w:pPr>
        <w:pBdr/>
        <w:spacing/>
        <w:ind/>
        <w:rPr>
          <w:b/>
        </w:rPr>
      </w:pPr>
      <w:r>
        <w:rPr>
          <w:b/>
        </w:rPr>
      </w:r>
      <w:r>
        <w:rPr>
          <w:b/>
        </w:rPr>
      </w:r>
    </w:p>
    <w:p>
      <w:pPr>
        <w:pStyle w:val="712"/>
        <w:numPr>
          <w:ilvl w:val="0"/>
          <w:numId w:val="1"/>
        </w:numPr>
        <w:pBdr/>
        <w:spacing/>
        <w:ind/>
        <w:rPr>
          <w:b/>
          <w:color w:val="7030a0"/>
        </w:rPr>
      </w:pPr>
      <w:r>
        <w:t xml:space="preserve">Does a patient have the right to know what other options they have if they don’t consent to a particular procedure?</w:t>
      </w:r>
      <w:r>
        <w:t xml:space="preserve"> </w:t>
      </w:r>
      <w:r>
        <w:rPr>
          <w:b/>
          <w:color w:val="7030a0"/>
        </w:rPr>
      </w:r>
    </w:p>
    <w:p>
      <w:pPr>
        <w:pStyle w:val="712"/>
        <w:pBdr/>
        <w:spacing/>
        <w:ind/>
        <w:rPr>
          <w:b/>
          <w:i/>
          <w:color w:val="7030a0"/>
        </w:rPr>
      </w:pPr>
      <w:r>
        <w:rPr>
          <w:b/>
          <w:i/>
          <w:color w:val="7030a0"/>
        </w:rPr>
        <w:t xml:space="preserve">Yes, the patient has the right to know what other exams/procedures/tests could be performed. Howe</w:t>
      </w:r>
      <w:r>
        <w:rPr>
          <w:b/>
          <w:i/>
          <w:color w:val="7030a0"/>
        </w:rPr>
        <w:t xml:space="preserve">ver, the technologist should direct the patient to have this discussion with their doctor. We are not to influence or recommend other tests on behalf of that patient’s doctor since we don’t have the patient’s history nor is it within our scope of practice.</w:t>
      </w:r>
      <w:r>
        <w:rPr>
          <w:b/>
          <w:i/>
          <w:color w:val="7030a0"/>
        </w:rPr>
      </w:r>
    </w:p>
    <w:p>
      <w:pPr>
        <w:pBdr/>
        <w:spacing/>
        <w:ind/>
        <w:rPr>
          <w:b/>
          <w:color w:val="7030a0"/>
        </w:rPr>
      </w:pPr>
      <w:r>
        <w:rPr>
          <w:b/>
          <w:color w:val="7030a0"/>
        </w:rPr>
      </w:r>
      <w:r>
        <w:rPr>
          <w:b/>
          <w:color w:val="7030a0"/>
        </w:rPr>
      </w:r>
    </w:p>
    <w:p>
      <w:pPr>
        <w:pBdr/>
        <w:spacing/>
        <w:ind/>
        <w:rPr>
          <w:b/>
          <w:color w:val="7030a0"/>
        </w:rPr>
      </w:pPr>
      <w:r>
        <w:rPr>
          <w:b/>
          <w:color w:val="7030a0"/>
        </w:rPr>
      </w:r>
      <w:r>
        <w:rPr>
          <w:b/>
          <w:color w:val="7030a0"/>
        </w:rPr>
      </w:r>
    </w:p>
    <w:p>
      <w:pPr>
        <w:pStyle w:val="712"/>
        <w:pBdr/>
        <w:spacing/>
        <w:ind/>
        <w:rPr>
          <w:b/>
          <w:color w:val="7030a0"/>
        </w:rPr>
      </w:pPr>
      <w:r>
        <w:rPr>
          <w:b/>
          <w:color w:val="7030a0"/>
        </w:rPr>
      </w:r>
      <w:r>
        <w:rPr>
          <w:b/>
          <w:color w:val="7030a0"/>
        </w:rPr>
      </w:r>
    </w:p>
    <w:p>
      <w:pPr>
        <w:pStyle w:val="712"/>
        <w:numPr>
          <w:ilvl w:val="0"/>
          <w:numId w:val="1"/>
        </w:numPr>
        <w:pBdr/>
        <w:spacing/>
        <w:ind/>
        <w:rPr>
          <w:b/>
          <w:color w:val="7030a0"/>
        </w:rPr>
      </w:pPr>
      <w:r>
        <w:t xml:space="preserve">Do you think the timing of when the patient </w:t>
      </w:r>
      <w:r>
        <w:t xml:space="preserve">can ask questions about the procedure influences if the consent if valid? </w:t>
      </w:r>
      <w:r>
        <w:rPr>
          <w:b/>
          <w:color w:val="7030a0"/>
        </w:rPr>
      </w:r>
    </w:p>
    <w:p>
      <w:pPr>
        <w:pStyle w:val="712"/>
        <w:pBdr/>
        <w:spacing/>
        <w:ind/>
        <w:rPr>
          <w:b/>
          <w:i/>
          <w:color w:val="7030a0"/>
        </w:rPr>
      </w:pPr>
      <w:r>
        <w:rPr>
          <w:b/>
          <w:i/>
          <w:color w:val="7030a0"/>
        </w:rPr>
        <w:t xml:space="preserve">Yes, the timing when to ask questions in important. No consent should be signed by the patient unt</w:t>
      </w:r>
      <w:r>
        <w:rPr>
          <w:b/>
          <w:i/>
          <w:color w:val="7030a0"/>
        </w:rPr>
        <w:t xml:space="preserve">il they appropriate opportunity to ask questions has been provided. The patient signs consent forms based on information and if that information is unclear or incomplete then the consent can be considered invalid. Transparency about risks and complications</w:t>
      </w:r>
      <w:r>
        <w:rPr>
          <w:b/>
          <w:i/>
          <w:color w:val="7030a0"/>
        </w:rPr>
      </w:r>
    </w:p>
    <w:p>
      <w:pPr>
        <w:pStyle w:val="712"/>
        <w:pBdr/>
        <w:spacing/>
        <w:ind/>
        <w:rPr>
          <w:b/>
          <w:i/>
          <w:color w:val="7030a0"/>
        </w:rPr>
      </w:pPr>
      <w:r>
        <w:rPr>
          <w:b/>
          <w:i/>
          <w:color w:val="7030a0"/>
        </w:rPr>
      </w:r>
      <w:r>
        <w:rPr>
          <w:b/>
          <w:i/>
          <w:color w:val="7030a0"/>
        </w:rPr>
      </w:r>
    </w:p>
    <w:p>
      <w:pPr>
        <w:pStyle w:val="712"/>
        <w:pBdr/>
        <w:spacing/>
        <w:ind/>
        <w:rPr>
          <w:b/>
          <w:color w:val="7030a0"/>
        </w:rPr>
      </w:pPr>
      <w:r>
        <w:rPr>
          <w:b/>
          <w:color w:val="7030a0"/>
        </w:rPr>
      </w:r>
      <w:r>
        <w:rPr>
          <w:b/>
          <w:color w:val="7030a0"/>
        </w:rPr>
      </w:r>
    </w:p>
    <w:p>
      <w:pPr>
        <w:pStyle w:val="712"/>
        <w:pBdr/>
        <w:spacing/>
        <w:ind/>
        <w:rPr>
          <w:b/>
          <w:color w:val="7030a0"/>
        </w:rPr>
      </w:pPr>
      <w:r>
        <w:rPr>
          <w:b/>
          <w:color w:val="7030a0"/>
        </w:rPr>
      </w:r>
      <w:r>
        <w:rPr>
          <w:b/>
          <w:color w:val="7030a0"/>
        </w:rPr>
      </w:r>
    </w:p>
    <w:p>
      <w:pPr>
        <w:pStyle w:val="712"/>
        <w:pBdr/>
        <w:spacing/>
        <w:ind/>
        <w:rPr>
          <w:b/>
          <w:color w:val="7030a0"/>
        </w:rPr>
      </w:pPr>
      <w:r>
        <w:rPr>
          <w:b/>
          <w:color w:val="7030a0"/>
        </w:rPr>
      </w:r>
      <w:r>
        <w:rPr>
          <w:b/>
          <w:color w:val="7030a0"/>
        </w:rPr>
      </w:r>
    </w:p>
    <w:p>
      <w:pPr>
        <w:pStyle w:val="712"/>
        <w:pBdr/>
        <w:spacing/>
        <w:ind/>
        <w:rPr>
          <w:b/>
          <w:color w:val="7030a0"/>
        </w:rPr>
      </w:pPr>
      <w:r>
        <w:rPr>
          <w:b/>
          <w:color w:val="7030a0"/>
        </w:rPr>
      </w:r>
      <w:r>
        <w:rPr>
          <w:b/>
          <w:color w:val="7030a0"/>
        </w:rPr>
      </w:r>
    </w:p>
    <w:p>
      <w:pPr>
        <w:pStyle w:val="712"/>
        <w:numPr>
          <w:ilvl w:val="0"/>
          <w:numId w:val="1"/>
        </w:numPr>
        <w:pBdr/>
        <w:spacing/>
        <w:ind/>
        <w:rPr>
          <w:b/>
          <w:color w:val="7030a0"/>
        </w:rPr>
      </w:pPr>
      <w:r>
        <w:t xml:space="preserve">Who could possibly influence the patient to sign the consent? </w:t>
      </w:r>
      <w:r>
        <w:rPr>
          <w:b/>
          <w:color w:val="7030a0"/>
        </w:rPr>
      </w:r>
    </w:p>
    <w:p>
      <w:pPr>
        <w:pStyle w:val="712"/>
        <w:pBdr/>
        <w:spacing/>
        <w:ind/>
        <w:rPr>
          <w:b/>
          <w:i/>
          <w:color w:val="7030a0"/>
        </w:rPr>
      </w:pPr>
      <w:r>
        <w:rPr>
          <w:b/>
          <w:i/>
          <w:color w:val="7030a0"/>
        </w:rPr>
        <w:t xml:space="preserve">The patient’s doctor or other health care providers and loved ones such as family members or friends.</w:t>
      </w:r>
      <w:r>
        <w:rPr>
          <w:b/>
          <w:i/>
          <w:color w:val="7030a0"/>
        </w:rPr>
      </w:r>
    </w:p>
    <w:p>
      <w:pPr>
        <w:pBdr/>
        <w:spacing/>
        <w:ind/>
        <w:rPr>
          <w:b/>
          <w:color w:val="7030a0"/>
        </w:rPr>
      </w:pPr>
      <w:r>
        <w:rPr>
          <w:b/>
          <w:color w:val="7030a0"/>
        </w:rPr>
      </w:r>
      <w:r>
        <w:rPr>
          <w:b/>
          <w:color w:val="7030a0"/>
        </w:rPr>
      </w:r>
    </w:p>
    <w:p>
      <w:pPr>
        <w:pBdr/>
        <w:spacing/>
        <w:ind/>
        <w:rPr>
          <w:b/>
          <w:color w:val="7030a0"/>
        </w:rPr>
      </w:pPr>
      <w:r>
        <w:rPr>
          <w:b/>
          <w:color w:val="7030a0"/>
        </w:rPr>
      </w:r>
      <w:r>
        <w:rPr>
          <w:b/>
          <w:color w:val="7030a0"/>
        </w:rPr>
      </w:r>
    </w:p>
    <w:p>
      <w:pPr>
        <w:pBdr/>
        <w:spacing/>
        <w:ind/>
        <w:rPr>
          <w:b/>
          <w:color w:val="7030a0"/>
        </w:rPr>
      </w:pPr>
      <w:r>
        <w:rPr>
          <w:b/>
          <w:color w:val="7030a0"/>
        </w:rPr>
      </w:r>
      <w:r>
        <w:rPr>
          <w:b/>
          <w:color w:val="7030a0"/>
        </w:rPr>
      </w:r>
    </w:p>
    <w:p>
      <w:pPr>
        <w:pStyle w:val="712"/>
        <w:pBdr/>
        <w:spacing/>
        <w:ind/>
        <w:rPr>
          <w:b/>
          <w:color w:val="7030a0"/>
        </w:rPr>
      </w:pPr>
      <w:r>
        <w:rPr>
          <w:b/>
          <w:color w:val="7030a0"/>
        </w:rPr>
      </w:r>
      <w:r>
        <w:rPr>
          <w:b/>
          <w:color w:val="7030a0"/>
        </w:rPr>
      </w:r>
    </w:p>
    <w:p>
      <w:pPr>
        <w:pStyle w:val="712"/>
        <w:numPr>
          <w:ilvl w:val="0"/>
          <w:numId w:val="1"/>
        </w:numPr>
        <w:pBdr/>
        <w:spacing/>
        <w:ind/>
        <w:rPr>
          <w:b/>
          <w:i/>
          <w:color w:val="7030a0"/>
        </w:rPr>
      </w:pPr>
      <w:r>
        <w:t xml:space="preserve">If a patient is unable to give consent, is it federal or provincial legislation which decides who the substitute decision maker is?</w:t>
      </w:r>
      <w:r>
        <w:t xml:space="preserve"> </w:t>
      </w:r>
      <w:r>
        <w:t xml:space="preserve">  </w:t>
      </w:r>
      <w:r>
        <w:t xml:space="preserve"> </w:t>
      </w:r>
      <w:r>
        <w:rPr>
          <w:b/>
          <w:i/>
          <w:color w:val="7030a0"/>
        </w:rPr>
        <w:t xml:space="preserve">Provincial </w:t>
      </w:r>
      <w:r>
        <w:rPr>
          <w:b/>
          <w:i/>
          <w:color w:val="7030a0"/>
        </w:rPr>
        <w:t xml:space="preserve">legislation decides. Could be the Power of Attorney or the Personal Medical Director.</w:t>
      </w:r>
      <w:r>
        <w:rPr>
          <w:b/>
          <w:i/>
          <w:color w:val="7030a0"/>
        </w:rPr>
      </w:r>
    </w:p>
    <w:p>
      <w:pPr>
        <w:pStyle w:val="712"/>
        <w:pBdr/>
        <w:spacing/>
        <w:ind/>
        <w:rPr>
          <w:b/>
          <w:i/>
          <w:color w:val="7030a0"/>
        </w:rPr>
      </w:pPr>
      <w:r>
        <w:rPr>
          <w:b/>
          <w:i/>
          <w:color w:val="7030a0"/>
        </w:rPr>
      </w:r>
      <w:r>
        <w:rPr>
          <w:b/>
          <w:i/>
          <w:color w:val="7030a0"/>
        </w:rPr>
      </w:r>
    </w:p>
    <w:p>
      <w:pPr>
        <w:pStyle w:val="712"/>
        <w:pBdr/>
        <w:spacing/>
        <w:ind/>
        <w:rPr>
          <w:b/>
          <w:color w:val="7030a0"/>
        </w:rPr>
      </w:pPr>
      <w:r>
        <w:rPr>
          <w:b/>
          <w:color w:val="7030a0"/>
        </w:rPr>
      </w:r>
      <w:r>
        <w:rPr>
          <w:b/>
          <w:color w:val="7030a0"/>
        </w:rPr>
      </w:r>
    </w:p>
    <w:p>
      <w:pPr>
        <w:pStyle w:val="712"/>
        <w:pBdr/>
        <w:spacing/>
        <w:ind/>
        <w:rPr>
          <w:b/>
          <w:color w:val="7030a0"/>
        </w:rPr>
      </w:pPr>
      <w:r>
        <w:rPr>
          <w:b/>
          <w:color w:val="7030a0"/>
        </w:rPr>
      </w:r>
      <w:r>
        <w:rPr>
          <w:b/>
          <w:color w:val="7030a0"/>
        </w:rPr>
      </w:r>
    </w:p>
    <w:p>
      <w:pPr>
        <w:pStyle w:val="712"/>
        <w:pBdr/>
        <w:spacing/>
        <w:ind/>
        <w:rPr>
          <w:b/>
          <w:color w:val="7030a0"/>
        </w:rPr>
      </w:pPr>
      <w:r>
        <w:rPr>
          <w:b/>
          <w:color w:val="7030a0"/>
        </w:rPr>
      </w:r>
      <w:r>
        <w:rPr>
          <w:b/>
          <w:color w:val="7030a0"/>
        </w:rPr>
      </w:r>
    </w:p>
    <w:p>
      <w:pPr>
        <w:pStyle w:val="712"/>
        <w:pBdr/>
        <w:spacing/>
        <w:ind/>
        <w:rPr>
          <w:b/>
          <w:color w:val="7030a0"/>
        </w:rPr>
      </w:pPr>
      <w:r>
        <w:rPr>
          <w:b/>
          <w:color w:val="7030a0"/>
        </w:rPr>
      </w:r>
      <w:r>
        <w:rPr>
          <w:b/>
          <w:color w:val="7030a0"/>
        </w:rPr>
      </w:r>
    </w:p>
    <w:p>
      <w:pPr>
        <w:pStyle w:val="712"/>
        <w:pBdr/>
        <w:spacing/>
        <w:ind/>
        <w:rPr>
          <w:b/>
          <w:color w:val="7030a0"/>
        </w:rPr>
      </w:pPr>
      <w:r>
        <w:rPr>
          <w:b/>
          <w:color w:val="7030a0"/>
        </w:rPr>
      </w:r>
      <w:r>
        <w:rPr>
          <w:b/>
          <w:color w:val="7030a0"/>
        </w:rPr>
      </w:r>
    </w:p>
    <w:p>
      <w:pPr>
        <w:pStyle w:val="712"/>
        <w:pBdr/>
        <w:spacing/>
        <w:ind/>
        <w:rPr>
          <w:b/>
          <w:color w:val="7030a0"/>
        </w:rPr>
      </w:pPr>
      <w:r>
        <w:rPr>
          <w:b/>
          <w:color w:val="7030a0"/>
        </w:rPr>
      </w:r>
      <w:r>
        <w:rPr>
          <w:b/>
          <w:color w:val="7030a0"/>
        </w:rPr>
      </w:r>
    </w:p>
    <w:p>
      <w:pPr>
        <w:pStyle w:val="712"/>
        <w:pBdr/>
        <w:spacing/>
        <w:ind/>
        <w:rPr>
          <w:b/>
          <w:color w:val="7030a0"/>
        </w:rPr>
      </w:pPr>
      <w:r>
        <w:rPr>
          <w:b/>
          <w:color w:val="7030a0"/>
        </w:rPr>
      </w:r>
      <w:r>
        <w:rPr>
          <w:b/>
          <w:color w:val="7030a0"/>
        </w:rPr>
      </w:r>
    </w:p>
    <w:p>
      <w:pPr>
        <w:pStyle w:val="712"/>
        <w:pBdr/>
        <w:spacing/>
        <w:ind/>
        <w:rPr>
          <w:b/>
          <w:color w:val="7030a0"/>
        </w:rPr>
      </w:pPr>
      <w:r>
        <w:rPr>
          <w:b/>
          <w:color w:val="7030a0"/>
        </w:rPr>
      </w:r>
      <w:r>
        <w:rPr>
          <w:b/>
          <w:color w:val="7030a0"/>
        </w:rPr>
      </w:r>
    </w:p>
    <w:p>
      <w:pPr>
        <w:pStyle w:val="712"/>
        <w:numPr>
          <w:ilvl w:val="0"/>
          <w:numId w:val="1"/>
        </w:numPr>
        <w:pBdr/>
        <w:spacing/>
        <w:ind/>
        <w:rPr>
          <w:b/>
          <w:color w:val="7030a0"/>
        </w:rPr>
      </w:pPr>
      <w:r>
        <w:t xml:space="preserve">When must the patient withdrawal consent for a procedure?</w:t>
      </w:r>
      <w:r>
        <w:rPr>
          <w:b/>
          <w:color w:val="7030a0"/>
        </w:rPr>
        <w:t xml:space="preserve">  </w:t>
      </w:r>
      <w:r>
        <w:rPr>
          <w:b/>
          <w:color w:val="7030a0"/>
        </w:rPr>
      </w:r>
    </w:p>
    <w:p>
      <w:pPr>
        <w:pStyle w:val="712"/>
        <w:pBdr/>
        <w:spacing/>
        <w:ind/>
        <w:rPr>
          <w:b/>
          <w:i/>
          <w:color w:val="7030a0"/>
        </w:rPr>
      </w:pPr>
      <w:r>
        <w:rPr>
          <w:b/>
          <w:i/>
          <w:color w:val="7030a0"/>
        </w:rPr>
        <w:t xml:space="preserve">The patient can withdraw their consent at any time. Even if the procedure is almost complete.</w:t>
      </w:r>
      <w:r>
        <w:rPr>
          <w:b/>
          <w:i/>
          <w:color w:val="7030a0"/>
        </w:rPr>
      </w:r>
    </w:p>
    <w:p>
      <w:pPr>
        <w:pBdr/>
        <w:spacing/>
        <w:ind/>
        <w:rPr>
          <w:b/>
          <w:color w:val="7030a0"/>
        </w:rPr>
      </w:pPr>
      <w:r>
        <w:rPr>
          <w:b/>
          <w:color w:val="7030a0"/>
        </w:rPr>
      </w:r>
      <w:r>
        <w:rPr>
          <w:b/>
          <w:color w:val="7030a0"/>
        </w:rPr>
      </w:r>
    </w:p>
    <w:p>
      <w:pPr>
        <w:pBdr/>
        <w:spacing/>
        <w:ind/>
        <w:rPr>
          <w:b/>
          <w:color w:val="7030a0"/>
        </w:rPr>
      </w:pPr>
      <w:r>
        <w:rPr>
          <w:b/>
          <w:color w:val="7030a0"/>
        </w:rPr>
      </w:r>
      <w:r>
        <w:rPr>
          <w:b/>
          <w:color w:val="7030a0"/>
        </w:rPr>
      </w:r>
    </w:p>
    <w:p>
      <w:pPr>
        <w:pBdr/>
        <w:spacing/>
        <w:ind/>
        <w:rPr>
          <w:b/>
          <w:color w:val="7030a0"/>
        </w:rPr>
      </w:pPr>
      <w:r>
        <w:rPr>
          <w:b/>
          <w:color w:val="7030a0"/>
        </w:rPr>
      </w:r>
      <w:r>
        <w:rPr>
          <w:b/>
          <w:color w:val="7030a0"/>
        </w:rPr>
      </w:r>
    </w:p>
    <w:p>
      <w:pPr>
        <w:pStyle w:val="712"/>
        <w:pBdr/>
        <w:spacing/>
        <w:ind/>
        <w:rPr>
          <w:b/>
          <w:color w:val="7030a0"/>
        </w:rPr>
      </w:pPr>
      <w:r>
        <w:rPr>
          <w:b/>
          <w:color w:val="7030a0"/>
        </w:rPr>
      </w:r>
      <w:r>
        <w:rPr>
          <w:b/>
          <w:color w:val="7030a0"/>
        </w:rPr>
      </w:r>
    </w:p>
    <w:p>
      <w:pPr>
        <w:pStyle w:val="712"/>
        <w:pBdr/>
        <w:spacing/>
        <w:ind/>
        <w:rPr>
          <w:b/>
          <w:color w:val="7030a0"/>
        </w:rPr>
      </w:pPr>
      <w:r>
        <w:rPr>
          <w:b/>
          <w:color w:val="7030a0"/>
        </w:rPr>
      </w:r>
      <w:r>
        <w:rPr>
          <w:b/>
          <w:color w:val="7030a0"/>
        </w:rPr>
      </w:r>
    </w:p>
    <w:p>
      <w:pPr>
        <w:pStyle w:val="712"/>
        <w:numPr>
          <w:ilvl w:val="0"/>
          <w:numId w:val="1"/>
        </w:numPr>
        <w:pBdr/>
        <w:spacing/>
        <w:ind/>
        <w:rPr>
          <w:b/>
          <w:color w:val="7030a0"/>
        </w:rPr>
      </w:pPr>
      <w:r>
        <w:t xml:space="preserve">Does the technologist who explained the procedure to the patient have to be the technologist present during the procedure?</w:t>
      </w:r>
      <w:r>
        <w:rPr>
          <w:b/>
          <w:color w:val="7030a0"/>
        </w:rPr>
        <w:t xml:space="preserve"> </w:t>
      </w:r>
      <w:r>
        <w:t xml:space="preserve">If not, explain</w:t>
      </w:r>
      <w:r>
        <w:t xml:space="preserve">.  </w:t>
      </w:r>
      <w:r>
        <w:rPr>
          <w:b/>
          <w:color w:val="7030a0"/>
        </w:rPr>
      </w:r>
    </w:p>
    <w:p>
      <w:pPr>
        <w:pStyle w:val="712"/>
        <w:pBdr/>
        <w:spacing/>
        <w:ind/>
        <w:rPr>
          <w:b/>
          <w:color w:val="7030a0"/>
        </w:rPr>
      </w:pPr>
      <w:r>
        <w:rPr>
          <w:b/>
          <w:i/>
          <w:color w:val="7030a0"/>
        </w:rPr>
        <w:t xml:space="preserve">It’s considered best practice for the technologist who witnessed and explained the procedure to the patient. However, if the Radiologist’s name is on the consent stating they are performing that procedure, </w:t>
      </w:r>
      <w:r>
        <w:rPr>
          <w:b/>
          <w:i/>
          <w:color w:val="7030a0"/>
        </w:rPr>
        <w:t xml:space="preserve">than</w:t>
      </w:r>
      <w:r>
        <w:rPr>
          <w:b/>
          <w:i/>
          <w:color w:val="7030a0"/>
        </w:rPr>
        <w:t xml:space="preserve"> that Radiologist must perform the procedure. There is the odd occasion where the Radiologi</w:t>
      </w:r>
      <w:r>
        <w:rPr>
          <w:b/>
          <w:i/>
          <w:color w:val="7030a0"/>
        </w:rPr>
        <w:t xml:space="preserve">st is now unavailable and a different Radiologist must perform the procedure, then the consent is “modified” and initialed by the technologist and the patient. Plus, the patient must be given an additional opportunity to ask the performing Radiologist any </w:t>
      </w:r>
      <w:r>
        <w:rPr>
          <w:b/>
          <w:i/>
          <w:color w:val="7030a0"/>
        </w:rPr>
        <w:t xml:space="preserve">further </w:t>
      </w:r>
      <w:r>
        <w:rPr>
          <w:b/>
          <w:i/>
          <w:color w:val="7030a0"/>
        </w:rPr>
        <w:t xml:space="preserve">questions</w:t>
      </w:r>
      <w:r>
        <w:rPr>
          <w:b/>
          <w:color w:val="7030a0"/>
        </w:rPr>
        <w:t xml:space="preserve">.</w:t>
      </w:r>
      <w:r>
        <w:rPr>
          <w:b/>
          <w:color w:val="7030a0"/>
        </w:rPr>
      </w:r>
    </w:p>
    <w:p>
      <w:pPr>
        <w:pBdr/>
        <w:spacing/>
        <w:ind/>
        <w:rPr>
          <w:b/>
          <w:color w:val="7030a0"/>
        </w:rPr>
      </w:pPr>
      <w:r>
        <w:rPr>
          <w:b/>
          <w:color w:val="7030a0"/>
        </w:rPr>
      </w:r>
      <w:r>
        <w:rPr>
          <w:b/>
          <w:color w:val="7030a0"/>
        </w:rPr>
      </w:r>
    </w:p>
    <w:p>
      <w:pPr>
        <w:pBdr/>
        <w:spacing/>
        <w:ind/>
        <w:rPr>
          <w:b/>
          <w:color w:val="7030a0"/>
        </w:rPr>
      </w:pPr>
      <w:r>
        <w:rPr>
          <w:b/>
          <w:color w:val="7030a0"/>
        </w:rPr>
      </w:r>
      <w:r>
        <w:rPr>
          <w:b/>
          <w:color w:val="7030a0"/>
        </w:rPr>
      </w:r>
    </w:p>
    <w:p>
      <w:pPr>
        <w:pBdr/>
        <w:spacing/>
        <w:ind/>
        <w:rPr>
          <w:b/>
          <w:color w:val="7030a0"/>
        </w:rPr>
      </w:pPr>
      <w:r>
        <w:rPr>
          <w:b/>
          <w:color w:val="7030a0"/>
        </w:rPr>
      </w:r>
      <w:r>
        <w:rPr>
          <w:b/>
          <w:color w:val="7030a0"/>
        </w:rPr>
      </w:r>
    </w:p>
    <w:p>
      <w:pPr>
        <w:pStyle w:val="712"/>
        <w:pBdr/>
        <w:spacing/>
        <w:ind/>
        <w:rPr>
          <w:b/>
          <w:color w:val="7030a0"/>
        </w:rPr>
      </w:pPr>
      <w:r>
        <w:rPr>
          <w:b/>
          <w:color w:val="7030a0"/>
        </w:rPr>
      </w:r>
      <w:r>
        <w:rPr>
          <w:b/>
          <w:color w:val="7030a0"/>
        </w:rPr>
      </w:r>
    </w:p>
    <w:p>
      <w:pPr>
        <w:pStyle w:val="712"/>
        <w:numPr>
          <w:ilvl w:val="0"/>
          <w:numId w:val="1"/>
        </w:numPr>
        <w:pBdr/>
        <w:spacing/>
        <w:ind/>
        <w:rPr>
          <w:b/>
          <w:color w:val="7030a0"/>
        </w:rPr>
      </w:pPr>
      <w:r>
        <w:t xml:space="preserve">Give an example of when a MRT can obtain consent</w:t>
      </w:r>
      <w:r>
        <w:t xml:space="preserve">. </w:t>
      </w:r>
      <w:r>
        <w:rPr>
          <w:b/>
          <w:color w:val="7030a0"/>
        </w:rPr>
      </w:r>
    </w:p>
    <w:p>
      <w:pPr>
        <w:pStyle w:val="712"/>
        <w:pBdr/>
        <w:spacing/>
        <w:ind/>
        <w:rPr>
          <w:b/>
          <w:color w:val="7030a0"/>
        </w:rPr>
      </w:pPr>
      <w:r>
        <w:rPr>
          <w:b/>
          <w:color w:val="7030a0"/>
        </w:rPr>
        <w:t xml:space="preserve">When an Intravenous (IV) injection is administered to give contrast media. The injection of the contrast media into the blood stream has risks and complications of an allergic reaction. Thus requires an “Informed or written” consent form to be signed.</w:t>
      </w:r>
      <w:r>
        <w:rPr>
          <w:b/>
          <w:color w:val="7030a0"/>
        </w:rPr>
      </w:r>
    </w:p>
    <w:sectPr>
      <w:headerReference w:type="default" r:id="rId9"/>
      <w:footnotePr/>
      <w:endnotePr/>
      <w:type w:val="nextPage"/>
      <w:pgSz w:h="15840" w:orient="portrait" w:w="12240"/>
      <w:pgMar w:top="1440" w:right="1440" w:bottom="144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5040202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Bdr/>
      <w:spacing/>
      <w:ind/>
      <w:rPr/>
    </w:p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10531"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720"/>
      </w:pPr>
      <w:rPr>
        <w:rFonts w:hint="default"/>
        <w:color w:val="auto"/>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
    <w:name w:val="Table Grid"/>
    <w:basedOn w:val="710"/>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
    <w:name w:val="Table Grid Light"/>
    <w:basedOn w:val="71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1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10"/>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1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1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1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10"/>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1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1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1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1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1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1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1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1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1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1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1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1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1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1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1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1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1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1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1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1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10"/>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10"/>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10"/>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10"/>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10"/>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10"/>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10"/>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10"/>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10"/>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1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10"/>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1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10"/>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10"/>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10"/>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10"/>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10"/>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10"/>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10"/>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10"/>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10"/>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10"/>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10"/>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10"/>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10"/>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10"/>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10"/>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10"/>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1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10"/>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1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10"/>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1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10"/>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10"/>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1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10"/>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10"/>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10"/>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10"/>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10"/>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10"/>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10"/>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10"/>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10"/>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10"/>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10"/>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10"/>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10"/>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10"/>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10"/>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10"/>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10"/>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10"/>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10"/>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10"/>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10"/>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10"/>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1">
    <w:name w:val="List Table 7 Colorful - Accent 2"/>
    <w:basedOn w:val="710"/>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10"/>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10"/>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10"/>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b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5">
    <w:name w:val="List Table 7 Colorful - Accent 6"/>
    <w:basedOn w:val="710"/>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10"/>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10"/>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10"/>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10"/>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10"/>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10"/>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10"/>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10"/>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1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1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1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1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1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1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8">
    <w:name w:val="Heading 1"/>
    <w:basedOn w:val="708"/>
    <w:next w:val="708"/>
    <w:link w:val="149"/>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39">
    <w:name w:val="Heading 2"/>
    <w:basedOn w:val="708"/>
    <w:next w:val="708"/>
    <w:link w:val="15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0">
    <w:name w:val="Heading 3"/>
    <w:basedOn w:val="708"/>
    <w:next w:val="708"/>
    <w:link w:val="15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1">
    <w:name w:val="Heading 4"/>
    <w:basedOn w:val="708"/>
    <w:next w:val="708"/>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08"/>
    <w:next w:val="708"/>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08"/>
    <w:next w:val="708"/>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08"/>
    <w:next w:val="708"/>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08"/>
    <w:next w:val="708"/>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08"/>
    <w:next w:val="708"/>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9">
    <w:name w:val="Heading 1 Char"/>
    <w:basedOn w:val="709"/>
    <w:link w:val="138"/>
    <w:uiPriority w:val="9"/>
    <w:pPr>
      <w:pBdr/>
      <w:spacing/>
      <w:ind/>
    </w:pPr>
    <w:rPr>
      <w:rFonts w:ascii="Arial" w:hAnsi="Arial" w:eastAsia="Arial" w:cs="Arial"/>
      <w:color w:val="0f4761" w:themeColor="accent1" w:themeShade="BF"/>
      <w:sz w:val="40"/>
      <w:szCs w:val="40"/>
    </w:rPr>
  </w:style>
  <w:style w:type="character" w:styleId="150">
    <w:name w:val="Heading 2 Char"/>
    <w:basedOn w:val="709"/>
    <w:link w:val="139"/>
    <w:uiPriority w:val="9"/>
    <w:pPr>
      <w:pBdr/>
      <w:spacing/>
      <w:ind/>
    </w:pPr>
    <w:rPr>
      <w:rFonts w:ascii="Arial" w:hAnsi="Arial" w:eastAsia="Arial" w:cs="Arial"/>
      <w:color w:val="0f4761" w:themeColor="accent1" w:themeShade="BF"/>
      <w:sz w:val="32"/>
      <w:szCs w:val="32"/>
    </w:rPr>
  </w:style>
  <w:style w:type="character" w:styleId="151">
    <w:name w:val="Heading 3 Char"/>
    <w:basedOn w:val="709"/>
    <w:link w:val="140"/>
    <w:uiPriority w:val="9"/>
    <w:pPr>
      <w:pBdr/>
      <w:spacing/>
      <w:ind/>
    </w:pPr>
    <w:rPr>
      <w:rFonts w:ascii="Arial" w:hAnsi="Arial" w:eastAsia="Arial" w:cs="Arial"/>
      <w:color w:val="0f4761" w:themeColor="accent1" w:themeShade="BF"/>
      <w:sz w:val="28"/>
      <w:szCs w:val="28"/>
    </w:rPr>
  </w:style>
  <w:style w:type="character" w:styleId="152">
    <w:name w:val="Heading 4 Char"/>
    <w:basedOn w:val="709"/>
    <w:link w:val="141"/>
    <w:uiPriority w:val="9"/>
    <w:pPr>
      <w:pBdr/>
      <w:spacing/>
      <w:ind/>
    </w:pPr>
    <w:rPr>
      <w:rFonts w:ascii="Arial" w:hAnsi="Arial" w:eastAsia="Arial" w:cs="Arial"/>
      <w:i/>
      <w:iCs/>
      <w:color w:val="0f4761" w:themeColor="accent1" w:themeShade="BF"/>
    </w:rPr>
  </w:style>
  <w:style w:type="character" w:styleId="153">
    <w:name w:val="Heading 5 Char"/>
    <w:basedOn w:val="709"/>
    <w:link w:val="142"/>
    <w:uiPriority w:val="9"/>
    <w:pPr>
      <w:pBdr/>
      <w:spacing/>
      <w:ind/>
    </w:pPr>
    <w:rPr>
      <w:rFonts w:ascii="Arial" w:hAnsi="Arial" w:eastAsia="Arial" w:cs="Arial"/>
      <w:color w:val="0f4761" w:themeColor="accent1" w:themeShade="BF"/>
    </w:rPr>
  </w:style>
  <w:style w:type="character" w:styleId="154">
    <w:name w:val="Heading 6 Char"/>
    <w:basedOn w:val="709"/>
    <w:link w:val="143"/>
    <w:uiPriority w:val="9"/>
    <w:pPr>
      <w:pBdr/>
      <w:spacing/>
      <w:ind/>
    </w:pPr>
    <w:rPr>
      <w:rFonts w:ascii="Arial" w:hAnsi="Arial" w:eastAsia="Arial" w:cs="Arial"/>
      <w:i/>
      <w:iCs/>
      <w:color w:val="595959" w:themeColor="text1" w:themeTint="A6"/>
    </w:rPr>
  </w:style>
  <w:style w:type="character" w:styleId="155">
    <w:name w:val="Heading 7 Char"/>
    <w:basedOn w:val="709"/>
    <w:link w:val="144"/>
    <w:uiPriority w:val="9"/>
    <w:pPr>
      <w:pBdr/>
      <w:spacing/>
      <w:ind/>
    </w:pPr>
    <w:rPr>
      <w:rFonts w:ascii="Arial" w:hAnsi="Arial" w:eastAsia="Arial" w:cs="Arial"/>
      <w:color w:val="595959" w:themeColor="text1" w:themeTint="A6"/>
    </w:rPr>
  </w:style>
  <w:style w:type="character" w:styleId="156">
    <w:name w:val="Heading 8 Char"/>
    <w:basedOn w:val="709"/>
    <w:link w:val="145"/>
    <w:uiPriority w:val="9"/>
    <w:pPr>
      <w:pBdr/>
      <w:spacing/>
      <w:ind/>
    </w:pPr>
    <w:rPr>
      <w:rFonts w:ascii="Arial" w:hAnsi="Arial" w:eastAsia="Arial" w:cs="Arial"/>
      <w:i/>
      <w:iCs/>
      <w:color w:val="272727" w:themeColor="text1" w:themeTint="D8"/>
    </w:rPr>
  </w:style>
  <w:style w:type="character" w:styleId="157">
    <w:name w:val="Heading 9 Char"/>
    <w:basedOn w:val="709"/>
    <w:link w:val="146"/>
    <w:uiPriority w:val="9"/>
    <w:pPr>
      <w:pBdr/>
      <w:spacing/>
      <w:ind/>
    </w:pPr>
    <w:rPr>
      <w:rFonts w:ascii="Arial" w:hAnsi="Arial" w:eastAsia="Arial" w:cs="Arial"/>
      <w:i/>
      <w:iCs/>
      <w:color w:val="272727" w:themeColor="text1" w:themeTint="D8"/>
    </w:rPr>
  </w:style>
  <w:style w:type="paragraph" w:styleId="158">
    <w:name w:val="Title"/>
    <w:basedOn w:val="708"/>
    <w:next w:val="708"/>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09"/>
    <w:link w:val="158"/>
    <w:uiPriority w:val="10"/>
    <w:pPr>
      <w:pBdr/>
      <w:spacing/>
      <w:ind/>
    </w:pPr>
    <w:rPr>
      <w:rFonts w:ascii="Arial" w:hAnsi="Arial" w:eastAsia="Arial" w:cs="Arial"/>
      <w:spacing w:val="-10"/>
      <w:sz w:val="56"/>
      <w:szCs w:val="56"/>
    </w:rPr>
  </w:style>
  <w:style w:type="paragraph" w:styleId="160">
    <w:name w:val="Subtitle"/>
    <w:basedOn w:val="708"/>
    <w:next w:val="708"/>
    <w:link w:val="161"/>
    <w:uiPriority w:val="11"/>
    <w:qFormat/>
    <w:pPr>
      <w:numPr>
        <w:ilvl w:val="1"/>
      </w:numPr>
      <w:pBdr/>
      <w:spacing/>
      <w:ind/>
    </w:pPr>
    <w:rPr>
      <w:color w:val="595959" w:themeColor="text1" w:themeTint="A6"/>
      <w:spacing w:val="15"/>
      <w:sz w:val="28"/>
      <w:szCs w:val="28"/>
    </w:rPr>
  </w:style>
  <w:style w:type="character" w:styleId="161">
    <w:name w:val="Subtitle Char"/>
    <w:basedOn w:val="709"/>
    <w:link w:val="160"/>
    <w:uiPriority w:val="11"/>
    <w:pPr>
      <w:pBdr/>
      <w:spacing/>
      <w:ind/>
    </w:pPr>
    <w:rPr>
      <w:color w:val="595959" w:themeColor="text1" w:themeTint="A6"/>
      <w:spacing w:val="15"/>
      <w:sz w:val="28"/>
      <w:szCs w:val="28"/>
    </w:rPr>
  </w:style>
  <w:style w:type="paragraph" w:styleId="162">
    <w:name w:val="Quote"/>
    <w:basedOn w:val="708"/>
    <w:next w:val="708"/>
    <w:link w:val="163"/>
    <w:uiPriority w:val="29"/>
    <w:qFormat/>
    <w:pPr>
      <w:pBdr/>
      <w:spacing w:before="160"/>
      <w:ind/>
      <w:jc w:val="center"/>
    </w:pPr>
    <w:rPr>
      <w:i/>
      <w:iCs/>
      <w:color w:val="404040" w:themeColor="text1" w:themeTint="BF"/>
    </w:rPr>
  </w:style>
  <w:style w:type="character" w:styleId="163">
    <w:name w:val="Quote Char"/>
    <w:basedOn w:val="709"/>
    <w:link w:val="162"/>
    <w:uiPriority w:val="29"/>
    <w:pPr>
      <w:pBdr/>
      <w:spacing/>
      <w:ind/>
    </w:pPr>
    <w:rPr>
      <w:i/>
      <w:iCs/>
      <w:color w:val="404040" w:themeColor="text1" w:themeTint="BF"/>
    </w:rPr>
  </w:style>
  <w:style w:type="character" w:styleId="165">
    <w:name w:val="Intense Emphasis"/>
    <w:basedOn w:val="709"/>
    <w:uiPriority w:val="21"/>
    <w:qFormat/>
    <w:pPr>
      <w:pBdr/>
      <w:spacing/>
      <w:ind/>
    </w:pPr>
    <w:rPr>
      <w:i/>
      <w:iCs/>
      <w:color w:val="0f4761" w:themeColor="accent1" w:themeShade="BF"/>
    </w:rPr>
  </w:style>
  <w:style w:type="paragraph" w:styleId="166">
    <w:name w:val="Intense Quote"/>
    <w:basedOn w:val="708"/>
    <w:next w:val="708"/>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09"/>
    <w:link w:val="166"/>
    <w:uiPriority w:val="30"/>
    <w:pPr>
      <w:pBdr/>
      <w:spacing/>
      <w:ind/>
    </w:pPr>
    <w:rPr>
      <w:i/>
      <w:iCs/>
      <w:color w:val="0f4761" w:themeColor="accent1" w:themeShade="BF"/>
    </w:rPr>
  </w:style>
  <w:style w:type="character" w:styleId="168">
    <w:name w:val="Intense Reference"/>
    <w:basedOn w:val="709"/>
    <w:uiPriority w:val="32"/>
    <w:qFormat/>
    <w:pPr>
      <w:pBdr/>
      <w:spacing/>
      <w:ind/>
    </w:pPr>
    <w:rPr>
      <w:b/>
      <w:bCs/>
      <w:smallCaps/>
      <w:color w:val="0f4761" w:themeColor="accent1" w:themeShade="BF"/>
      <w:spacing w:val="5"/>
    </w:rPr>
  </w:style>
  <w:style w:type="paragraph" w:styleId="169">
    <w:name w:val="No Spacing"/>
    <w:basedOn w:val="708"/>
    <w:uiPriority w:val="1"/>
    <w:qFormat/>
    <w:pPr>
      <w:pBdr/>
      <w:spacing w:after="0" w:line="240" w:lineRule="auto"/>
      <w:ind/>
    </w:pPr>
  </w:style>
  <w:style w:type="character" w:styleId="170">
    <w:name w:val="Subtle Emphasis"/>
    <w:basedOn w:val="709"/>
    <w:uiPriority w:val="19"/>
    <w:qFormat/>
    <w:pPr>
      <w:pBdr/>
      <w:spacing/>
      <w:ind/>
    </w:pPr>
    <w:rPr>
      <w:i/>
      <w:iCs/>
      <w:color w:val="404040" w:themeColor="text1" w:themeTint="BF"/>
    </w:rPr>
  </w:style>
  <w:style w:type="character" w:styleId="171">
    <w:name w:val="Emphasis"/>
    <w:basedOn w:val="709"/>
    <w:uiPriority w:val="20"/>
    <w:qFormat/>
    <w:pPr>
      <w:pBdr/>
      <w:spacing/>
      <w:ind/>
    </w:pPr>
    <w:rPr>
      <w:i/>
      <w:iCs/>
    </w:rPr>
  </w:style>
  <w:style w:type="character" w:styleId="172">
    <w:name w:val="Strong"/>
    <w:basedOn w:val="709"/>
    <w:uiPriority w:val="22"/>
    <w:qFormat/>
    <w:pPr>
      <w:pBdr/>
      <w:spacing/>
      <w:ind/>
    </w:pPr>
    <w:rPr>
      <w:b/>
      <w:bCs/>
    </w:rPr>
  </w:style>
  <w:style w:type="character" w:styleId="173">
    <w:name w:val="Subtle Reference"/>
    <w:basedOn w:val="709"/>
    <w:uiPriority w:val="31"/>
    <w:qFormat/>
    <w:pPr>
      <w:pBdr/>
      <w:spacing/>
      <w:ind/>
    </w:pPr>
    <w:rPr>
      <w:smallCaps/>
      <w:color w:val="5a5a5a" w:themeColor="text1" w:themeTint="A5"/>
    </w:rPr>
  </w:style>
  <w:style w:type="character" w:styleId="174">
    <w:name w:val="Book Title"/>
    <w:basedOn w:val="709"/>
    <w:uiPriority w:val="33"/>
    <w:qFormat/>
    <w:pPr>
      <w:pBdr/>
      <w:spacing/>
      <w:ind/>
    </w:pPr>
    <w:rPr>
      <w:b/>
      <w:bCs/>
      <w:i/>
      <w:iCs/>
      <w:spacing w:val="5"/>
    </w:rPr>
  </w:style>
  <w:style w:type="paragraph" w:styleId="179">
    <w:name w:val="Caption"/>
    <w:basedOn w:val="708"/>
    <w:next w:val="708"/>
    <w:uiPriority w:val="35"/>
    <w:unhideWhenUsed/>
    <w:qFormat/>
    <w:pPr>
      <w:pBdr/>
      <w:spacing w:after="200" w:line="240" w:lineRule="auto"/>
      <w:ind/>
    </w:pPr>
    <w:rPr>
      <w:i/>
      <w:iCs/>
      <w:color w:val="0e2841" w:themeColor="text2"/>
      <w:sz w:val="18"/>
      <w:szCs w:val="18"/>
    </w:rPr>
  </w:style>
  <w:style w:type="paragraph" w:styleId="180">
    <w:name w:val="footnote text"/>
    <w:basedOn w:val="708"/>
    <w:link w:val="181"/>
    <w:uiPriority w:val="99"/>
    <w:semiHidden/>
    <w:unhideWhenUsed/>
    <w:pPr>
      <w:pBdr/>
      <w:spacing w:after="0" w:line="240" w:lineRule="auto"/>
      <w:ind/>
    </w:pPr>
    <w:rPr>
      <w:sz w:val="20"/>
      <w:szCs w:val="20"/>
    </w:rPr>
  </w:style>
  <w:style w:type="character" w:styleId="181">
    <w:name w:val="Footnote Text Char"/>
    <w:basedOn w:val="709"/>
    <w:link w:val="180"/>
    <w:uiPriority w:val="99"/>
    <w:semiHidden/>
    <w:pPr>
      <w:pBdr/>
      <w:spacing/>
      <w:ind/>
    </w:pPr>
    <w:rPr>
      <w:sz w:val="20"/>
      <w:szCs w:val="20"/>
    </w:rPr>
  </w:style>
  <w:style w:type="character" w:styleId="182">
    <w:name w:val="footnote reference"/>
    <w:basedOn w:val="709"/>
    <w:uiPriority w:val="99"/>
    <w:semiHidden/>
    <w:unhideWhenUsed/>
    <w:pPr>
      <w:pBdr/>
      <w:spacing/>
      <w:ind/>
    </w:pPr>
    <w:rPr>
      <w:vertAlign w:val="superscript"/>
    </w:rPr>
  </w:style>
  <w:style w:type="paragraph" w:styleId="183">
    <w:name w:val="endnote text"/>
    <w:basedOn w:val="708"/>
    <w:link w:val="184"/>
    <w:uiPriority w:val="99"/>
    <w:semiHidden/>
    <w:unhideWhenUsed/>
    <w:pPr>
      <w:pBdr/>
      <w:spacing w:after="0" w:line="240" w:lineRule="auto"/>
      <w:ind/>
    </w:pPr>
    <w:rPr>
      <w:sz w:val="20"/>
      <w:szCs w:val="20"/>
    </w:rPr>
  </w:style>
  <w:style w:type="character" w:styleId="184">
    <w:name w:val="Endnote Text Char"/>
    <w:basedOn w:val="709"/>
    <w:link w:val="183"/>
    <w:uiPriority w:val="99"/>
    <w:semiHidden/>
    <w:pPr>
      <w:pBdr/>
      <w:spacing/>
      <w:ind/>
    </w:pPr>
    <w:rPr>
      <w:sz w:val="20"/>
      <w:szCs w:val="20"/>
    </w:rPr>
  </w:style>
  <w:style w:type="character" w:styleId="185">
    <w:name w:val="endnote reference"/>
    <w:basedOn w:val="709"/>
    <w:uiPriority w:val="99"/>
    <w:semiHidden/>
    <w:unhideWhenUsed/>
    <w:pPr>
      <w:pBdr/>
      <w:spacing/>
      <w:ind/>
    </w:pPr>
    <w:rPr>
      <w:vertAlign w:val="superscript"/>
    </w:rPr>
  </w:style>
  <w:style w:type="character" w:styleId="186">
    <w:name w:val="Hyperlink"/>
    <w:basedOn w:val="709"/>
    <w:uiPriority w:val="99"/>
    <w:unhideWhenUsed/>
    <w:pPr>
      <w:pBdr/>
      <w:spacing/>
      <w:ind/>
    </w:pPr>
    <w:rPr>
      <w:color w:val="0563c1" w:themeColor="hyperlink"/>
      <w:u w:val="single"/>
    </w:rPr>
  </w:style>
  <w:style w:type="character" w:styleId="187">
    <w:name w:val="FollowedHyperlink"/>
    <w:basedOn w:val="709"/>
    <w:uiPriority w:val="99"/>
    <w:semiHidden/>
    <w:unhideWhenUsed/>
    <w:pPr>
      <w:pBdr/>
      <w:spacing/>
      <w:ind/>
    </w:pPr>
    <w:rPr>
      <w:color w:val="954f72" w:themeColor="followedHyperlink"/>
      <w:u w:val="single"/>
    </w:rPr>
  </w:style>
  <w:style w:type="paragraph" w:styleId="188">
    <w:name w:val="toc 1"/>
    <w:basedOn w:val="708"/>
    <w:next w:val="708"/>
    <w:uiPriority w:val="39"/>
    <w:unhideWhenUsed/>
    <w:pPr>
      <w:pBdr/>
      <w:spacing w:after="100"/>
      <w:ind/>
    </w:pPr>
  </w:style>
  <w:style w:type="paragraph" w:styleId="189">
    <w:name w:val="toc 2"/>
    <w:basedOn w:val="708"/>
    <w:next w:val="708"/>
    <w:uiPriority w:val="39"/>
    <w:unhideWhenUsed/>
    <w:pPr>
      <w:pBdr/>
      <w:spacing w:after="100"/>
      <w:ind w:left="220"/>
    </w:pPr>
  </w:style>
  <w:style w:type="paragraph" w:styleId="190">
    <w:name w:val="toc 3"/>
    <w:basedOn w:val="708"/>
    <w:next w:val="708"/>
    <w:uiPriority w:val="39"/>
    <w:unhideWhenUsed/>
    <w:pPr>
      <w:pBdr/>
      <w:spacing w:after="100"/>
      <w:ind w:left="440"/>
    </w:pPr>
  </w:style>
  <w:style w:type="paragraph" w:styleId="191">
    <w:name w:val="toc 4"/>
    <w:basedOn w:val="708"/>
    <w:next w:val="708"/>
    <w:uiPriority w:val="39"/>
    <w:unhideWhenUsed/>
    <w:pPr>
      <w:pBdr/>
      <w:spacing w:after="100"/>
      <w:ind w:left="660"/>
    </w:pPr>
  </w:style>
  <w:style w:type="paragraph" w:styleId="192">
    <w:name w:val="toc 5"/>
    <w:basedOn w:val="708"/>
    <w:next w:val="708"/>
    <w:uiPriority w:val="39"/>
    <w:unhideWhenUsed/>
    <w:pPr>
      <w:pBdr/>
      <w:spacing w:after="100"/>
      <w:ind w:left="880"/>
    </w:pPr>
  </w:style>
  <w:style w:type="paragraph" w:styleId="193">
    <w:name w:val="toc 6"/>
    <w:basedOn w:val="708"/>
    <w:next w:val="708"/>
    <w:uiPriority w:val="39"/>
    <w:unhideWhenUsed/>
    <w:pPr>
      <w:pBdr/>
      <w:spacing w:after="100"/>
      <w:ind w:left="1100"/>
    </w:pPr>
  </w:style>
  <w:style w:type="paragraph" w:styleId="194">
    <w:name w:val="toc 7"/>
    <w:basedOn w:val="708"/>
    <w:next w:val="708"/>
    <w:uiPriority w:val="39"/>
    <w:unhideWhenUsed/>
    <w:pPr>
      <w:pBdr/>
      <w:spacing w:after="100"/>
      <w:ind w:left="1320"/>
    </w:pPr>
  </w:style>
  <w:style w:type="paragraph" w:styleId="195">
    <w:name w:val="toc 8"/>
    <w:basedOn w:val="708"/>
    <w:next w:val="708"/>
    <w:uiPriority w:val="39"/>
    <w:unhideWhenUsed/>
    <w:pPr>
      <w:pBdr/>
      <w:spacing w:after="100"/>
      <w:ind w:left="1540"/>
    </w:pPr>
  </w:style>
  <w:style w:type="paragraph" w:styleId="196">
    <w:name w:val="toc 9"/>
    <w:basedOn w:val="708"/>
    <w:next w:val="708"/>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08"/>
    <w:next w:val="708"/>
    <w:uiPriority w:val="99"/>
    <w:unhideWhenUsed/>
    <w:pPr>
      <w:pBdr/>
      <w:spacing w:after="0" w:afterAutospacing="0"/>
      <w:ind/>
    </w:pPr>
  </w:style>
  <w:style w:type="paragraph" w:styleId="708" w:default="1">
    <w:name w:val="Normal"/>
    <w:qFormat/>
    <w:pPr>
      <w:pBdr/>
      <w:spacing/>
      <w:ind/>
    </w:pPr>
  </w:style>
  <w:style w:type="character" w:styleId="709" w:default="1">
    <w:name w:val="Default Paragraph Font"/>
    <w:uiPriority w:val="1"/>
    <w:semiHidden/>
    <w:unhideWhenUsed/>
    <w:pPr>
      <w:pBdr/>
      <w:spacing/>
      <w:ind/>
    </w:pPr>
  </w:style>
  <w:style w:type="table" w:styleId="710"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11" w:default="1">
    <w:name w:val="No List"/>
    <w:uiPriority w:val="99"/>
    <w:semiHidden/>
    <w:unhideWhenUsed/>
    <w:pPr>
      <w:pBdr/>
      <w:spacing/>
      <w:ind/>
    </w:pPr>
  </w:style>
  <w:style w:type="paragraph" w:styleId="712">
    <w:name w:val="List Paragraph"/>
    <w:basedOn w:val="708"/>
    <w:uiPriority w:val="34"/>
    <w:qFormat/>
    <w:pPr>
      <w:pBdr/>
      <w:spacing/>
      <w:ind w:left="720"/>
      <w:contextualSpacing w:val="true"/>
    </w:pPr>
  </w:style>
  <w:style w:type="paragraph" w:styleId="713">
    <w:name w:val="Balloon Text"/>
    <w:basedOn w:val="708"/>
    <w:link w:val="714"/>
    <w:uiPriority w:val="99"/>
    <w:semiHidden/>
    <w:unhideWhenUsed/>
    <w:pPr>
      <w:pBdr/>
      <w:spacing w:after="0" w:line="240" w:lineRule="auto"/>
      <w:ind/>
    </w:pPr>
    <w:rPr>
      <w:rFonts w:ascii="Segoe UI" w:hAnsi="Segoe UI" w:cs="Segoe UI"/>
      <w:sz w:val="18"/>
      <w:szCs w:val="18"/>
    </w:rPr>
  </w:style>
  <w:style w:type="character" w:styleId="714" w:customStyle="1">
    <w:name w:val="Balloon Text Char"/>
    <w:basedOn w:val="709"/>
    <w:link w:val="713"/>
    <w:uiPriority w:val="99"/>
    <w:semiHidden/>
    <w:pPr>
      <w:pBdr/>
      <w:spacing/>
      <w:ind/>
    </w:pPr>
    <w:rPr>
      <w:rFonts w:ascii="Segoe UI" w:hAnsi="Segoe UI" w:cs="Segoe UI"/>
      <w:sz w:val="18"/>
      <w:szCs w:val="18"/>
    </w:rPr>
  </w:style>
  <w:style w:type="paragraph" w:styleId="715">
    <w:name w:val="Header"/>
    <w:basedOn w:val="708"/>
    <w:link w:val="716"/>
    <w:uiPriority w:val="99"/>
    <w:unhideWhenUsed/>
    <w:pPr>
      <w:pBdr/>
      <w:tabs>
        <w:tab w:val="center" w:leader="none" w:pos="4680"/>
        <w:tab w:val="right" w:leader="none" w:pos="9360"/>
      </w:tabs>
      <w:spacing w:after="0" w:line="240" w:lineRule="auto"/>
      <w:ind/>
    </w:pPr>
  </w:style>
  <w:style w:type="character" w:styleId="716" w:customStyle="1">
    <w:name w:val="Header Char"/>
    <w:basedOn w:val="709"/>
    <w:link w:val="715"/>
    <w:uiPriority w:val="99"/>
    <w:pPr>
      <w:pBdr/>
      <w:spacing/>
      <w:ind/>
    </w:pPr>
  </w:style>
  <w:style w:type="paragraph" w:styleId="717">
    <w:name w:val="Footer"/>
    <w:basedOn w:val="708"/>
    <w:link w:val="718"/>
    <w:uiPriority w:val="99"/>
    <w:unhideWhenUsed/>
    <w:pPr>
      <w:pBdr/>
      <w:tabs>
        <w:tab w:val="center" w:leader="none" w:pos="4680"/>
        <w:tab w:val="right" w:leader="none" w:pos="9360"/>
      </w:tabs>
      <w:spacing w:after="0" w:line="240" w:lineRule="auto"/>
      <w:ind/>
    </w:pPr>
  </w:style>
  <w:style w:type="character" w:styleId="718" w:customStyle="1">
    <w:name w:val="Footer Char"/>
    <w:basedOn w:val="709"/>
    <w:link w:val="717"/>
    <w:uiPriority w:val="99"/>
    <w:pPr>
      <w:pBdr/>
      <w:spacing/>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F66459A-57E8-487F-A6F2-C63AA0E580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E548C1-4E76-4931-A2E4-DB4C3D4CBC85}">
  <ds:schemaRefs>
    <ds:schemaRef ds:uri="http://schemas.microsoft.com/sharepoint/v3/contenttype/forms"/>
  </ds:schemaRefs>
</ds:datastoreItem>
</file>

<file path=customXml/itemProps3.xml><?xml version="1.0" encoding="utf-8"?>
<ds:datastoreItem xmlns:ds="http://schemas.openxmlformats.org/officeDocument/2006/customXml" ds:itemID="{8F79E403-5FB1-4ADB-8278-DF76F84CFFA8}">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SAIT Polytechnic</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LeGrandeur</dc:creator>
  <cp:keywords/>
  <dc:description/>
  <cp:lastModifiedBy>Qaiser Rehman</cp:lastModifiedBy>
  <cp:revision>4</cp:revision>
  <dcterms:created xsi:type="dcterms:W3CDTF">2024-04-10T13:43:00Z</dcterms:created>
  <dcterms:modified xsi:type="dcterms:W3CDTF">2025-06-30T18:45:43Z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