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</w:r>
      <w:r>
        <w:rPr>
          <w:b/>
          <w:sz w:val="24"/>
          <w:szCs w:val="24"/>
          <w:lang w:val="en-CA" w:eastAsia="en-CA"/>
        </w:rPr>
      </w:r>
    </w:p>
    <w:p>
      <w:pPr>
        <w:pBdr/>
        <w:spacing/>
        <w:ind/>
        <w:jc w:val="center"/>
        <w:rPr>
          <w:sz w:val="28"/>
          <w:szCs w:val="28"/>
          <w:lang w:val="en-CA" w:eastAsia="en-CA"/>
        </w:rPr>
      </w:pPr>
      <w:r>
        <w:rPr>
          <w:b/>
          <w:sz w:val="28"/>
          <w:szCs w:val="28"/>
          <w:lang w:val="en-CA" w:eastAsia="en-CA"/>
        </w:rPr>
        <w:t xml:space="preserve">MRAD 202 – Worksheet – Which Patient Goes First? – ANSWER KEY</w:t>
      </w:r>
      <w:r>
        <w:rPr>
          <w:sz w:val="28"/>
          <w:szCs w:val="28"/>
          <w:lang w:val="en-CA" w:eastAsia="en-CA"/>
        </w:rPr>
      </w:r>
    </w:p>
    <w:p>
      <w:pPr>
        <w:pBdr/>
        <w:spacing/>
        <w:ind/>
        <w:jc w:val="center"/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</w:r>
      <w:r>
        <w:rPr>
          <w:sz w:val="24"/>
          <w:szCs w:val="24"/>
          <w:lang w:val="en-CA" w:eastAsia="en-CA"/>
        </w:rPr>
      </w:r>
    </w:p>
    <w:p>
      <w:pPr>
        <w:pBdr/>
        <w:spacing/>
        <w:ind/>
        <w:rPr>
          <w:sz w:val="28"/>
          <w:szCs w:val="28"/>
          <w:u w:val="single"/>
          <w:lang w:val="en-CA" w:eastAsia="en-CA"/>
        </w:rPr>
      </w:pPr>
      <w:r>
        <w:rPr>
          <w:sz w:val="28"/>
          <w:szCs w:val="28"/>
          <w:u w:val="single"/>
          <w:lang w:val="en-CA" w:eastAsia="en-CA"/>
        </w:rPr>
        <w:t xml:space="preserve">Consider these factors when deciding</w:t>
      </w:r>
      <w:r>
        <w:rPr>
          <w:sz w:val="28"/>
          <w:szCs w:val="28"/>
          <w:u w:val="single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In-pt. Out-pt. or ER patient</w:t>
      </w:r>
      <w:r>
        <w:rPr>
          <w:sz w:val="28"/>
          <w:szCs w:val="28"/>
          <w:lang w:val="en-CA" w:eastAsia="en-CA"/>
        </w:rPr>
        <w:t xml:space="preserve">. Coordinating with other departments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Patient’s ability to understand and comply</w:t>
      </w:r>
      <w:r>
        <w:rPr>
          <w:sz w:val="28"/>
          <w:szCs w:val="28"/>
          <w:lang w:val="en-CA" w:eastAsia="en-CA"/>
        </w:rPr>
        <w:t xml:space="preserve">. What does that mean?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Mobility of the patient</w:t>
      </w:r>
      <w:r>
        <w:rPr>
          <w:sz w:val="28"/>
          <w:szCs w:val="28"/>
          <w:lang w:val="en-CA" w:eastAsia="en-CA"/>
        </w:rPr>
        <w:t xml:space="preserve">. Why would this matter?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Patient exam preparation. Give examples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Room preparation and accessory equipment</w:t>
      </w:r>
      <w:r>
        <w:rPr>
          <w:sz w:val="28"/>
          <w:szCs w:val="28"/>
          <w:lang w:val="en-CA" w:eastAsia="en-CA"/>
        </w:rPr>
        <w:t xml:space="preserve">. Change over between various exams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Length of time the exam takes to perform. Radiologist’s availability 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Technologist’s experience and communication skills. Timing and rapport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2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Patient assessment takes practice. Be patient with yourself</w:t>
      </w:r>
      <w:r>
        <w:rPr>
          <w:sz w:val="28"/>
          <w:szCs w:val="28"/>
          <w:lang w:val="en-CA" w:eastAsia="en-CA"/>
        </w:rPr>
      </w:r>
    </w:p>
    <w:p>
      <w:p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</w:r>
      <w:r>
        <w:rPr>
          <w:sz w:val="28"/>
          <w:szCs w:val="28"/>
          <w:lang w:val="en-CA" w:eastAsia="en-CA"/>
        </w:rPr>
      </w:r>
    </w:p>
    <w:p>
      <w:p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</w:r>
      <w:r>
        <w:rPr>
          <w:sz w:val="28"/>
          <w:szCs w:val="28"/>
          <w:lang w:val="en-CA" w:eastAsia="en-CA"/>
        </w:rPr>
      </w:r>
    </w:p>
    <w:p>
      <w:p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From this list of patients, decide which patient would go first to last. </w:t>
      </w:r>
      <w:r>
        <w:rPr>
          <w:sz w:val="28"/>
          <w:szCs w:val="28"/>
          <w:lang w:val="en-CA" w:eastAsia="en-CA"/>
        </w:rPr>
      </w:r>
    </w:p>
    <w:p>
      <w:p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Explain why</w:t>
      </w:r>
      <w:r>
        <w:rPr>
          <w:sz w:val="28"/>
          <w:szCs w:val="28"/>
          <w:lang w:val="en-CA" w:eastAsia="en-CA"/>
        </w:rPr>
      </w:r>
    </w:p>
    <w:p>
      <w:p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3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17-year old barium enema (</w:t>
      </w:r>
      <w:r>
        <w:rPr>
          <w:color w:val="c00000"/>
          <w:sz w:val="28"/>
          <w:szCs w:val="28"/>
          <w:lang w:val="en-CA" w:eastAsia="en-CA"/>
        </w:rPr>
        <w:t xml:space="preserve">5</w:t>
      </w:r>
      <w:r>
        <w:rPr>
          <w:sz w:val="28"/>
          <w:szCs w:val="28"/>
          <w:lang w:val="en-CA" w:eastAsia="en-CA"/>
        </w:rPr>
        <w:t xml:space="preserve">)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3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60-year-old</w:t>
      </w:r>
      <w:r>
        <w:rPr>
          <w:sz w:val="28"/>
          <w:szCs w:val="28"/>
          <w:lang w:val="en-CA" w:eastAsia="en-CA"/>
        </w:rPr>
        <w:t xml:space="preserve"> diabetic UGI</w:t>
      </w:r>
      <w:r>
        <w:rPr>
          <w:sz w:val="28"/>
          <w:szCs w:val="28"/>
          <w:lang w:val="en-CA" w:eastAsia="en-CA"/>
        </w:rPr>
        <w:t xml:space="preserve"> (</w:t>
      </w:r>
      <w:r>
        <w:rPr>
          <w:b/>
          <w:color w:val="c00000"/>
          <w:sz w:val="28"/>
          <w:szCs w:val="28"/>
          <w:lang w:val="en-CA" w:eastAsia="en-CA"/>
        </w:rPr>
        <w:t xml:space="preserve">1</w:t>
      </w:r>
      <w:r>
        <w:rPr>
          <w:sz w:val="28"/>
          <w:szCs w:val="28"/>
          <w:lang w:val="en-CA" w:eastAsia="en-CA"/>
        </w:rPr>
        <w:t xml:space="preserve">)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3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40-year-old UGI</w:t>
      </w:r>
      <w:r>
        <w:rPr>
          <w:sz w:val="28"/>
          <w:szCs w:val="28"/>
          <w:lang w:val="en-CA" w:eastAsia="en-CA"/>
        </w:rPr>
        <w:t xml:space="preserve"> (</w:t>
      </w:r>
      <w:r>
        <w:rPr>
          <w:b/>
          <w:color w:val="c00000"/>
          <w:sz w:val="28"/>
          <w:szCs w:val="28"/>
          <w:lang w:val="en-CA" w:eastAsia="en-CA"/>
        </w:rPr>
        <w:t xml:space="preserve">2</w:t>
      </w:r>
      <w:r>
        <w:rPr>
          <w:sz w:val="28"/>
          <w:szCs w:val="28"/>
          <w:lang w:val="en-CA" w:eastAsia="en-CA"/>
        </w:rPr>
        <w:t xml:space="preserve">)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3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8-year old small bowel follow through (SBFT)</w:t>
      </w:r>
      <w:r>
        <w:rPr>
          <w:sz w:val="28"/>
          <w:szCs w:val="28"/>
          <w:lang w:val="en-CA" w:eastAsia="en-CA"/>
        </w:rPr>
        <w:t xml:space="preserve"> (</w:t>
      </w:r>
      <w:r>
        <w:rPr>
          <w:b/>
          <w:color w:val="c00000"/>
          <w:sz w:val="28"/>
          <w:szCs w:val="28"/>
          <w:lang w:val="en-CA" w:eastAsia="en-CA"/>
        </w:rPr>
        <w:t xml:space="preserve">3</w:t>
      </w:r>
      <w:r>
        <w:rPr>
          <w:sz w:val="28"/>
          <w:szCs w:val="28"/>
          <w:lang w:val="en-CA" w:eastAsia="en-CA"/>
        </w:rPr>
        <w:t xml:space="preserve">)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3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75-year old barium enema</w:t>
      </w:r>
      <w:r>
        <w:rPr>
          <w:sz w:val="28"/>
          <w:szCs w:val="28"/>
          <w:lang w:val="en-CA" w:eastAsia="en-CA"/>
        </w:rPr>
        <w:t xml:space="preserve"> (</w:t>
      </w:r>
      <w:r>
        <w:rPr>
          <w:b/>
          <w:color w:val="c00000"/>
          <w:sz w:val="28"/>
          <w:szCs w:val="28"/>
          <w:lang w:val="en-CA" w:eastAsia="en-CA"/>
        </w:rPr>
        <w:t xml:space="preserve">6</w:t>
      </w:r>
      <w:r>
        <w:rPr>
          <w:sz w:val="28"/>
          <w:szCs w:val="28"/>
          <w:lang w:val="en-CA" w:eastAsia="en-CA"/>
        </w:rPr>
        <w:t xml:space="preserve">)</w:t>
      </w:r>
      <w:r>
        <w:rPr>
          <w:sz w:val="28"/>
          <w:szCs w:val="28"/>
          <w:lang w:val="en-CA" w:eastAsia="en-CA"/>
        </w:rPr>
      </w:r>
    </w:p>
    <w:p>
      <w:pPr>
        <w:pStyle w:val="880"/>
        <w:numPr>
          <w:ilvl w:val="0"/>
          <w:numId w:val="23"/>
        </w:numPr>
        <w:pBdr/>
        <w:spacing/>
        <w:ind/>
        <w:rPr>
          <w:sz w:val="28"/>
          <w:szCs w:val="28"/>
          <w:lang w:val="en-CA" w:eastAsia="en-CA"/>
        </w:rPr>
      </w:pPr>
      <w:r>
        <w:rPr>
          <w:sz w:val="28"/>
          <w:szCs w:val="28"/>
          <w:lang w:val="en-CA" w:eastAsia="en-CA"/>
        </w:rPr>
        <w:t xml:space="preserve">53</w:t>
      </w:r>
      <w:r>
        <w:rPr>
          <w:sz w:val="28"/>
          <w:szCs w:val="28"/>
          <w:lang w:val="en-CA" w:eastAsia="en-CA"/>
        </w:rPr>
        <w:t xml:space="preserve">-year old </w:t>
      </w:r>
      <w:r>
        <w:rPr>
          <w:sz w:val="28"/>
          <w:szCs w:val="28"/>
          <w:lang w:val="en-CA" w:eastAsia="en-CA"/>
        </w:rPr>
        <w:t xml:space="preserve">diabetic </w:t>
      </w:r>
      <w:r>
        <w:rPr>
          <w:sz w:val="28"/>
          <w:szCs w:val="28"/>
          <w:lang w:val="en-CA" w:eastAsia="en-CA"/>
        </w:rPr>
        <w:t xml:space="preserve">barium enema</w:t>
      </w:r>
      <w:r>
        <w:rPr>
          <w:sz w:val="28"/>
          <w:szCs w:val="28"/>
          <w:lang w:val="en-CA" w:eastAsia="en-CA"/>
        </w:rPr>
        <w:t xml:space="preserve"> (</w:t>
      </w:r>
      <w:r>
        <w:rPr>
          <w:b/>
          <w:color w:val="c00000"/>
          <w:sz w:val="28"/>
          <w:szCs w:val="28"/>
          <w:lang w:val="en-CA" w:eastAsia="en-CA"/>
        </w:rPr>
        <w:t xml:space="preserve">4</w:t>
      </w:r>
      <w:r>
        <w:rPr>
          <w:sz w:val="28"/>
          <w:szCs w:val="28"/>
          <w:lang w:val="en-CA" w:eastAsia="en-CA"/>
        </w:rPr>
        <w:t xml:space="preserve">)</w:t>
      </w:r>
      <w:r>
        <w:rPr>
          <w:sz w:val="28"/>
          <w:szCs w:val="28"/>
          <w:lang w:val="en-CA" w:eastAsia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899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904"/>
            <w:pBdr/>
            <w:spacing/>
            <w:ind/>
            <w:rPr/>
          </w:pPr>
          <w:r/>
          <w:r/>
        </w:p>
      </w:tc>
    </w:tr>
  </w:tbl>
  <w:p>
    <w:pPr>
      <w:pStyle w:val="876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76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pBdr/>
      <w:spacing w:after="0"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64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"/>
      <w:numFmt w:val="bullet"/>
      <w:pPr>
        <w:pBdr/>
        <w:spacing/>
        <w:ind w:hanging="360" w:left="720"/>
      </w:pPr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hint="default" w:ascii="Calibri" w:hAnsi="Calibri" w:eastAsiaTheme="minorHAnsi" w:cstheme="minorBid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7"/>
  </w:num>
  <w:num w:numId="2">
    <w:abstractNumId w:val="19"/>
  </w:num>
  <w:num w:numId="3">
    <w:abstractNumId w:val="12"/>
  </w:num>
  <w:num w:numId="4">
    <w:abstractNumId w:val="9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17"/>
  </w:num>
  <w:num w:numId="10">
    <w:abstractNumId w:val="16"/>
  </w:num>
  <w:num w:numId="11">
    <w:abstractNumId w:val="13"/>
  </w:num>
  <w:num w:numId="12">
    <w:abstractNumId w:val="15"/>
  </w:num>
  <w:num w:numId="13">
    <w:abstractNumId w:val="21"/>
  </w:num>
  <w:num w:numId="14">
    <w:abstractNumId w:val="14"/>
  </w:num>
  <w:num w:numId="15">
    <w:abstractNumId w:val="10"/>
  </w:num>
  <w:num w:numId="16">
    <w:abstractNumId w:val="20"/>
  </w:num>
  <w:num w:numId="17">
    <w:abstractNumId w:val="11"/>
  </w:num>
  <w:num w:numId="18">
    <w:abstractNumId w:val="0"/>
  </w:num>
  <w:num w:numId="19">
    <w:abstractNumId w:val="22"/>
  </w:num>
  <w:num w:numId="20">
    <w:abstractNumId w:val="2"/>
  </w:num>
  <w:num w:numId="21">
    <w:abstractNumId w:val="18"/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7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7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7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63"/>
    <w:next w:val="86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63"/>
    <w:next w:val="86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63"/>
    <w:next w:val="86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63"/>
    <w:next w:val="86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6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6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6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6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63"/>
    <w:next w:val="86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6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63"/>
    <w:next w:val="86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6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6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63"/>
    <w:next w:val="86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6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6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6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6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69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6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6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63"/>
    <w:next w:val="86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6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6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6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6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6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6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63"/>
    <w:next w:val="863"/>
    <w:uiPriority w:val="39"/>
    <w:unhideWhenUsed/>
    <w:pPr>
      <w:pBdr/>
      <w:spacing w:after="100"/>
      <w:ind/>
    </w:pPr>
  </w:style>
  <w:style w:type="paragraph" w:styleId="189">
    <w:name w:val="toc 2"/>
    <w:basedOn w:val="863"/>
    <w:next w:val="863"/>
    <w:uiPriority w:val="39"/>
    <w:unhideWhenUsed/>
    <w:pPr>
      <w:pBdr/>
      <w:spacing w:after="100"/>
      <w:ind w:left="220"/>
    </w:pPr>
  </w:style>
  <w:style w:type="paragraph" w:styleId="190">
    <w:name w:val="toc 3"/>
    <w:basedOn w:val="863"/>
    <w:next w:val="863"/>
    <w:uiPriority w:val="39"/>
    <w:unhideWhenUsed/>
    <w:pPr>
      <w:pBdr/>
      <w:spacing w:after="100"/>
      <w:ind w:left="440"/>
    </w:pPr>
  </w:style>
  <w:style w:type="paragraph" w:styleId="191">
    <w:name w:val="toc 4"/>
    <w:basedOn w:val="863"/>
    <w:next w:val="863"/>
    <w:uiPriority w:val="39"/>
    <w:unhideWhenUsed/>
    <w:pPr>
      <w:pBdr/>
      <w:spacing w:after="100"/>
      <w:ind w:left="660"/>
    </w:pPr>
  </w:style>
  <w:style w:type="paragraph" w:styleId="192">
    <w:name w:val="toc 5"/>
    <w:basedOn w:val="863"/>
    <w:next w:val="863"/>
    <w:uiPriority w:val="39"/>
    <w:unhideWhenUsed/>
    <w:pPr>
      <w:pBdr/>
      <w:spacing w:after="100"/>
      <w:ind w:left="880"/>
    </w:pPr>
  </w:style>
  <w:style w:type="paragraph" w:styleId="193">
    <w:name w:val="toc 6"/>
    <w:basedOn w:val="863"/>
    <w:next w:val="863"/>
    <w:uiPriority w:val="39"/>
    <w:unhideWhenUsed/>
    <w:pPr>
      <w:pBdr/>
      <w:spacing w:after="100"/>
      <w:ind w:left="1100"/>
    </w:pPr>
  </w:style>
  <w:style w:type="paragraph" w:styleId="194">
    <w:name w:val="toc 7"/>
    <w:basedOn w:val="863"/>
    <w:next w:val="863"/>
    <w:uiPriority w:val="39"/>
    <w:unhideWhenUsed/>
    <w:pPr>
      <w:pBdr/>
      <w:spacing w:after="100"/>
      <w:ind w:left="1320"/>
    </w:pPr>
  </w:style>
  <w:style w:type="paragraph" w:styleId="195">
    <w:name w:val="toc 8"/>
    <w:basedOn w:val="863"/>
    <w:next w:val="863"/>
    <w:uiPriority w:val="39"/>
    <w:unhideWhenUsed/>
    <w:pPr>
      <w:pBdr/>
      <w:spacing w:after="100"/>
      <w:ind w:left="1540"/>
    </w:pPr>
  </w:style>
  <w:style w:type="paragraph" w:styleId="196">
    <w:name w:val="toc 9"/>
    <w:basedOn w:val="863"/>
    <w:next w:val="86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63"/>
    <w:next w:val="863"/>
    <w:uiPriority w:val="99"/>
    <w:unhideWhenUsed/>
    <w:pPr>
      <w:pBdr/>
      <w:spacing w:after="0" w:afterAutospacing="0"/>
      <w:ind/>
    </w:pPr>
  </w:style>
  <w:style w:type="paragraph" w:styleId="863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64">
    <w:name w:val="Heading 1"/>
    <w:basedOn w:val="863"/>
    <w:next w:val="865"/>
    <w:link w:val="872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65">
    <w:name w:val="Heading 2"/>
    <w:basedOn w:val="863"/>
    <w:next w:val="863"/>
    <w:link w:val="873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66">
    <w:name w:val="Heading 3"/>
    <w:basedOn w:val="863"/>
    <w:next w:val="863"/>
    <w:link w:val="883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67">
    <w:name w:val="Heading 8"/>
    <w:basedOn w:val="863"/>
    <w:next w:val="863"/>
    <w:link w:val="882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68">
    <w:name w:val="Heading 9"/>
    <w:basedOn w:val="863"/>
    <w:next w:val="863"/>
    <w:link w:val="884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69" w:default="1">
    <w:name w:val="Default Paragraph Font"/>
    <w:uiPriority w:val="1"/>
    <w:semiHidden/>
    <w:unhideWhenUsed/>
    <w:pPr>
      <w:pBdr/>
      <w:spacing/>
      <w:ind/>
    </w:pPr>
  </w:style>
  <w:style w:type="table" w:styleId="87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1" w:default="1">
    <w:name w:val="No List"/>
    <w:uiPriority w:val="99"/>
    <w:semiHidden/>
    <w:unhideWhenUsed/>
    <w:pPr>
      <w:pBdr/>
      <w:spacing/>
      <w:ind/>
    </w:pPr>
  </w:style>
  <w:style w:type="character" w:styleId="872" w:customStyle="1">
    <w:name w:val="Heading 1 Char"/>
    <w:basedOn w:val="869"/>
    <w:link w:val="864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73" w:customStyle="1">
    <w:name w:val="Heading 2 Char"/>
    <w:basedOn w:val="869"/>
    <w:link w:val="865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74">
    <w:name w:val="Header"/>
    <w:basedOn w:val="863"/>
    <w:link w:val="875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75" w:customStyle="1">
    <w:name w:val="Header Char"/>
    <w:basedOn w:val="869"/>
    <w:link w:val="874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76">
    <w:name w:val="Footer"/>
    <w:basedOn w:val="863"/>
    <w:link w:val="877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77" w:customStyle="1">
    <w:name w:val="Footer Char"/>
    <w:basedOn w:val="869"/>
    <w:link w:val="876"/>
    <w:uiPriority w:val="99"/>
    <w:pPr>
      <w:pBdr/>
      <w:spacing/>
      <w:ind/>
    </w:pPr>
    <w:rPr>
      <w:rFonts w:eastAsia="Times New Roman" w:cs="Arial"/>
      <w:b/>
    </w:rPr>
  </w:style>
  <w:style w:type="paragraph" w:styleId="878">
    <w:name w:val="Balloon Text"/>
    <w:basedOn w:val="863"/>
    <w:link w:val="879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79" w:customStyle="1">
    <w:name w:val="Balloon Text Char"/>
    <w:basedOn w:val="869"/>
    <w:link w:val="878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80">
    <w:name w:val="List Paragraph"/>
    <w:basedOn w:val="863"/>
    <w:uiPriority w:val="34"/>
    <w:qFormat/>
    <w:pPr>
      <w:pBdr/>
      <w:spacing/>
      <w:ind w:left="720"/>
      <w:contextualSpacing w:val="true"/>
    </w:pPr>
  </w:style>
  <w:style w:type="table" w:styleId="881">
    <w:name w:val="Table Grid"/>
    <w:basedOn w:val="870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2" w:customStyle="1">
    <w:name w:val="Heading 8 Char"/>
    <w:basedOn w:val="869"/>
    <w:link w:val="867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83" w:customStyle="1">
    <w:name w:val="Heading 3 Char"/>
    <w:basedOn w:val="869"/>
    <w:link w:val="866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84" w:customStyle="1">
    <w:name w:val="Heading 9 Char"/>
    <w:basedOn w:val="869"/>
    <w:link w:val="868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85" w:customStyle="1">
    <w:name w:val="Source"/>
    <w:basedOn w:val="863"/>
    <w:qFormat/>
    <w:pPr>
      <w:pBdr/>
      <w:spacing/>
      <w:ind w:right="1440"/>
      <w:jc w:val="right"/>
    </w:pPr>
    <w:rPr>
      <w:sz w:val="20"/>
      <w:szCs w:val="24"/>
    </w:rPr>
  </w:style>
  <w:style w:type="paragraph" w:styleId="886">
    <w:name w:val="Title"/>
    <w:basedOn w:val="863"/>
    <w:next w:val="863"/>
    <w:link w:val="887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87" w:customStyle="1">
    <w:name w:val="Title Char"/>
    <w:basedOn w:val="869"/>
    <w:link w:val="886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88" w:customStyle="1">
    <w:name w:val="table text"/>
    <w:basedOn w:val="863"/>
    <w:qFormat/>
    <w:pPr>
      <w:pBdr/>
      <w:spacing w:before="120"/>
      <w:ind/>
    </w:pPr>
  </w:style>
  <w:style w:type="character" w:styleId="889">
    <w:name w:val="annotation reference"/>
    <w:basedOn w:val="86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90">
    <w:name w:val="annotation text"/>
    <w:basedOn w:val="863"/>
    <w:link w:val="89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91" w:customStyle="1">
    <w:name w:val="Comment Text Char"/>
    <w:basedOn w:val="869"/>
    <w:link w:val="890"/>
    <w:uiPriority w:val="99"/>
    <w:semiHidden/>
    <w:pPr>
      <w:pBdr/>
      <w:spacing/>
      <w:ind/>
    </w:pPr>
    <w:rPr>
      <w:color w:val="000000"/>
    </w:rPr>
  </w:style>
  <w:style w:type="paragraph" w:styleId="892">
    <w:name w:val="annotation subject"/>
    <w:basedOn w:val="890"/>
    <w:next w:val="890"/>
    <w:link w:val="893"/>
    <w:uiPriority w:val="99"/>
    <w:semiHidden/>
    <w:unhideWhenUsed/>
    <w:pPr>
      <w:pBdr/>
      <w:spacing/>
      <w:ind/>
    </w:pPr>
    <w:rPr>
      <w:b/>
      <w:bCs/>
    </w:rPr>
  </w:style>
  <w:style w:type="character" w:styleId="893" w:customStyle="1">
    <w:name w:val="Comment Subject Char"/>
    <w:basedOn w:val="891"/>
    <w:link w:val="892"/>
    <w:uiPriority w:val="99"/>
    <w:semiHidden/>
    <w:pPr>
      <w:pBdr/>
      <w:spacing/>
      <w:ind/>
    </w:pPr>
    <w:rPr>
      <w:b/>
      <w:bCs/>
      <w:color w:val="000000"/>
    </w:rPr>
  </w:style>
  <w:style w:type="paragraph" w:styleId="894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95">
    <w:name w:val="Strong"/>
    <w:basedOn w:val="869"/>
    <w:uiPriority w:val="22"/>
    <w:qFormat/>
    <w:pPr>
      <w:pBdr/>
      <w:spacing/>
      <w:ind/>
    </w:pPr>
    <w:rPr>
      <w:b/>
      <w:bCs/>
    </w:rPr>
  </w:style>
  <w:style w:type="table" w:styleId="896" w:customStyle="1">
    <w:name w:val="Table Grid1"/>
    <w:basedOn w:val="870"/>
    <w:next w:val="881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7" w:customStyle="1">
    <w:name w:val="SAIT Caption"/>
    <w:basedOn w:val="863"/>
    <w:qFormat/>
    <w:pPr>
      <w:pBdr/>
      <w:spacing w:after="120" w:before="120"/>
      <w:ind/>
      <w:jc w:val="center"/>
    </w:pPr>
    <w:rPr>
      <w:b/>
    </w:rPr>
  </w:style>
  <w:style w:type="paragraph" w:styleId="898" w:customStyle="1">
    <w:name w:val="SAIT Copyright"/>
    <w:basedOn w:val="876"/>
    <w:qFormat/>
    <w:pPr>
      <w:pBdr/>
      <w:spacing/>
      <w:ind/>
    </w:pPr>
    <w:rPr>
      <w:b w:val="0"/>
    </w:rPr>
  </w:style>
  <w:style w:type="paragraph" w:styleId="899" w:customStyle="1">
    <w:name w:val="Page No."/>
    <w:basedOn w:val="876"/>
    <w:qFormat/>
    <w:pPr>
      <w:pBdr/>
      <w:spacing/>
      <w:ind/>
      <w:jc w:val="right"/>
    </w:pPr>
  </w:style>
  <w:style w:type="paragraph" w:styleId="900" w:customStyle="1">
    <w:name w:val="Table Heading"/>
    <w:basedOn w:val="863"/>
    <w:qFormat/>
    <w:pPr>
      <w:pBdr/>
      <w:spacing w:after="60" w:before="60"/>
      <w:ind/>
      <w:jc w:val="center"/>
    </w:pPr>
    <w:rPr>
      <w:b/>
    </w:rPr>
  </w:style>
  <w:style w:type="paragraph" w:styleId="901" w:customStyle="1">
    <w:name w:val="Table Text"/>
    <w:basedOn w:val="863"/>
    <w:qFormat/>
    <w:pPr>
      <w:pBdr/>
      <w:spacing w:after="60" w:before="60"/>
      <w:ind/>
    </w:pPr>
  </w:style>
  <w:style w:type="paragraph" w:styleId="902" w:customStyle="1">
    <w:name w:val="Column Heading"/>
    <w:basedOn w:val="863"/>
    <w:qFormat/>
    <w:pPr>
      <w:pBdr/>
      <w:spacing w:after="60" w:before="60"/>
      <w:ind/>
      <w:jc w:val="center"/>
    </w:pPr>
    <w:rPr>
      <w:b/>
    </w:rPr>
  </w:style>
  <w:style w:type="paragraph" w:styleId="903" w:customStyle="1">
    <w:name w:val="Footer Copyright"/>
    <w:basedOn w:val="898"/>
    <w:qFormat/>
    <w:pPr>
      <w:pBdr/>
      <w:spacing/>
      <w:ind/>
    </w:pPr>
  </w:style>
  <w:style w:type="paragraph" w:styleId="904" w:customStyle="1">
    <w:name w:val="Copyright Footer"/>
    <w:basedOn w:val="863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BDB3D-D060-4509-8A7A-8795969353E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9586B91-454A-4573-AE67-B78616B234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97AC05-91F3-4AE6-8482-662AF0A5B6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8B94C-EC7D-4997-AB73-CCE8D3964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