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93230" w14:textId="77777777" w:rsidR="00BE3C78" w:rsidRDefault="00BE3C78">
      <w:pPr>
        <w:pStyle w:val="BodyText"/>
        <w:rPr>
          <w:rFonts w:ascii="Times New Roman"/>
        </w:rPr>
      </w:pPr>
    </w:p>
    <w:p w14:paraId="5CB7161B" w14:textId="77777777" w:rsidR="00BE3C78" w:rsidRDefault="00BE3C78">
      <w:pPr>
        <w:pStyle w:val="BodyText"/>
        <w:rPr>
          <w:rFonts w:ascii="Times New Roman"/>
        </w:rPr>
      </w:pPr>
    </w:p>
    <w:p w14:paraId="76D7EC43" w14:textId="77777777" w:rsidR="00BE3C78" w:rsidRDefault="00BE3C78">
      <w:pPr>
        <w:pStyle w:val="BodyText"/>
        <w:rPr>
          <w:rFonts w:ascii="Times New Roman"/>
        </w:rPr>
      </w:pPr>
    </w:p>
    <w:p w14:paraId="548FBA1A" w14:textId="77777777" w:rsidR="00BE3C78" w:rsidRDefault="00BE3C78">
      <w:pPr>
        <w:pStyle w:val="BodyText"/>
        <w:rPr>
          <w:rFonts w:ascii="Times New Roman"/>
        </w:rPr>
      </w:pPr>
    </w:p>
    <w:p w14:paraId="28E369B6" w14:textId="77777777" w:rsidR="00BE3C78" w:rsidRDefault="00BE3C78">
      <w:pPr>
        <w:pStyle w:val="BodyText"/>
        <w:spacing w:before="92"/>
        <w:rPr>
          <w:rFonts w:ascii="Times New Roman"/>
        </w:rPr>
      </w:pPr>
    </w:p>
    <w:p w14:paraId="375B4508" w14:textId="77777777" w:rsidR="00BE3C78" w:rsidRDefault="00000000">
      <w:pPr>
        <w:pStyle w:val="BodyText"/>
        <w:tabs>
          <w:tab w:val="left" w:pos="1540"/>
        </w:tabs>
        <w:ind w:left="820"/>
      </w:pPr>
      <w:r>
        <w:rPr>
          <w:spacing w:val="-5"/>
        </w:rPr>
        <w:t>1.3</w:t>
      </w:r>
      <w:r>
        <w:tab/>
        <w:t>Describe</w:t>
      </w:r>
      <w:r>
        <w:rPr>
          <w:spacing w:val="-4"/>
        </w:rPr>
        <w:t xml:space="preserve"> </w:t>
      </w:r>
      <w:r>
        <w:t>the</w:t>
      </w:r>
      <w:r>
        <w:rPr>
          <w:spacing w:val="-5"/>
        </w:rPr>
        <w:t xml:space="preserve"> </w:t>
      </w:r>
      <w:r>
        <w:t>federal</w:t>
      </w:r>
      <w:r>
        <w:rPr>
          <w:spacing w:val="-6"/>
        </w:rPr>
        <w:t xml:space="preserve"> </w:t>
      </w:r>
      <w:r>
        <w:t>legislation</w:t>
      </w:r>
      <w:r>
        <w:rPr>
          <w:spacing w:val="-5"/>
        </w:rPr>
        <w:t xml:space="preserve"> </w:t>
      </w:r>
      <w:r>
        <w:t>for</w:t>
      </w:r>
      <w:r>
        <w:rPr>
          <w:spacing w:val="-3"/>
        </w:rPr>
        <w:t xml:space="preserve"> </w:t>
      </w:r>
      <w:r>
        <w:t>hazardous</w:t>
      </w:r>
      <w:r>
        <w:rPr>
          <w:spacing w:val="-6"/>
        </w:rPr>
        <w:t xml:space="preserve"> </w:t>
      </w:r>
      <w:r>
        <w:rPr>
          <w:spacing w:val="-2"/>
        </w:rPr>
        <w:t>products.</w:t>
      </w:r>
    </w:p>
    <w:p w14:paraId="43741C8C" w14:textId="77777777" w:rsidR="00BE3C78" w:rsidRDefault="00BE3C78">
      <w:pPr>
        <w:pStyle w:val="BodyText"/>
      </w:pPr>
    </w:p>
    <w:p w14:paraId="5877FC20" w14:textId="77777777" w:rsidR="00BE3C78" w:rsidRDefault="00BE3C78">
      <w:pPr>
        <w:pStyle w:val="BodyText"/>
        <w:spacing w:before="97"/>
      </w:pPr>
    </w:p>
    <w:p w14:paraId="0E104C97" w14:textId="77777777" w:rsidR="00BE3C78" w:rsidRDefault="00000000">
      <w:pPr>
        <w:pStyle w:val="BodyText"/>
        <w:spacing w:line="259" w:lineRule="auto"/>
        <w:ind w:left="100" w:right="72"/>
      </w:pPr>
      <w:r>
        <w:t>Workplace Hazard Materials Information System (WHMIS) first became law in 1988 through federal, provincial</w:t>
      </w:r>
      <w:r>
        <w:rPr>
          <w:spacing w:val="-5"/>
        </w:rPr>
        <w:t xml:space="preserve"> </w:t>
      </w:r>
      <w:r>
        <w:t>and</w:t>
      </w:r>
      <w:r>
        <w:rPr>
          <w:spacing w:val="-4"/>
        </w:rPr>
        <w:t xml:space="preserve"> </w:t>
      </w:r>
      <w:r>
        <w:t>territorial</w:t>
      </w:r>
      <w:r>
        <w:rPr>
          <w:spacing w:val="-2"/>
        </w:rPr>
        <w:t xml:space="preserve"> </w:t>
      </w:r>
      <w:r>
        <w:t>legislation</w:t>
      </w:r>
      <w:r>
        <w:rPr>
          <w:spacing w:val="-4"/>
        </w:rPr>
        <w:t xml:space="preserve"> </w:t>
      </w:r>
      <w:r>
        <w:t>and</w:t>
      </w:r>
      <w:r>
        <w:rPr>
          <w:spacing w:val="-5"/>
        </w:rPr>
        <w:t xml:space="preserve"> </w:t>
      </w:r>
      <w:r>
        <w:t>regulations.</w:t>
      </w:r>
      <w:r>
        <w:rPr>
          <w:spacing w:val="-1"/>
        </w:rPr>
        <w:t xml:space="preserve"> </w:t>
      </w:r>
      <w:r>
        <w:t>Health</w:t>
      </w:r>
      <w:r>
        <w:rPr>
          <w:spacing w:val="-3"/>
        </w:rPr>
        <w:t xml:space="preserve"> </w:t>
      </w:r>
      <w:r>
        <w:t>Canada</w:t>
      </w:r>
      <w:r>
        <w:rPr>
          <w:spacing w:val="-3"/>
        </w:rPr>
        <w:t xml:space="preserve"> </w:t>
      </w:r>
      <w:r>
        <w:t>is</w:t>
      </w:r>
      <w:r>
        <w:rPr>
          <w:spacing w:val="-5"/>
        </w:rPr>
        <w:t xml:space="preserve"> </w:t>
      </w:r>
      <w:r>
        <w:t>the</w:t>
      </w:r>
      <w:r>
        <w:rPr>
          <w:spacing w:val="-3"/>
        </w:rPr>
        <w:t xml:space="preserve"> </w:t>
      </w:r>
      <w:r>
        <w:t>federal</w:t>
      </w:r>
      <w:r>
        <w:rPr>
          <w:spacing w:val="-5"/>
        </w:rPr>
        <w:t xml:space="preserve"> </w:t>
      </w:r>
      <w:r>
        <w:t>government</w:t>
      </w:r>
      <w:r>
        <w:rPr>
          <w:spacing w:val="-3"/>
        </w:rPr>
        <w:t xml:space="preserve"> </w:t>
      </w:r>
      <w:r>
        <w:t>body</w:t>
      </w:r>
      <w:r>
        <w:rPr>
          <w:spacing w:val="-3"/>
        </w:rPr>
        <w:t xml:space="preserve"> </w:t>
      </w:r>
      <w:r>
        <w:t xml:space="preserve">that is responsible for overall federal WHMIS related laws. The </w:t>
      </w:r>
      <w:r>
        <w:rPr>
          <w:i/>
        </w:rPr>
        <w:t xml:space="preserve">Labour Program at Employment and Social Development Canada </w:t>
      </w:r>
      <w:r>
        <w:t>is responsible for workplaces under federal jurisdiction.</w:t>
      </w:r>
    </w:p>
    <w:p w14:paraId="22570517" w14:textId="77777777" w:rsidR="00BE3C78" w:rsidRDefault="00000000">
      <w:pPr>
        <w:pStyle w:val="BodyText"/>
        <w:spacing w:before="160" w:line="254" w:lineRule="auto"/>
        <w:ind w:left="100"/>
      </w:pPr>
      <w:r>
        <w:t>Canadian</w:t>
      </w:r>
      <w:r>
        <w:rPr>
          <w:spacing w:val="-4"/>
        </w:rPr>
        <w:t xml:space="preserve"> </w:t>
      </w:r>
      <w:r>
        <w:t>federal</w:t>
      </w:r>
      <w:r>
        <w:rPr>
          <w:spacing w:val="-2"/>
        </w:rPr>
        <w:t xml:space="preserve"> </w:t>
      </w:r>
      <w:r>
        <w:t>legislation</w:t>
      </w:r>
      <w:r>
        <w:rPr>
          <w:spacing w:val="-3"/>
        </w:rPr>
        <w:t xml:space="preserve"> </w:t>
      </w:r>
      <w:r>
        <w:t>was</w:t>
      </w:r>
      <w:r>
        <w:rPr>
          <w:spacing w:val="-2"/>
        </w:rPr>
        <w:t xml:space="preserve"> </w:t>
      </w:r>
      <w:r>
        <w:t>amended</w:t>
      </w:r>
      <w:r>
        <w:rPr>
          <w:spacing w:val="-5"/>
        </w:rPr>
        <w:t xml:space="preserve"> </w:t>
      </w:r>
      <w:r>
        <w:t>on</w:t>
      </w:r>
      <w:r>
        <w:rPr>
          <w:spacing w:val="-3"/>
        </w:rPr>
        <w:t xml:space="preserve"> </w:t>
      </w:r>
      <w:r>
        <w:t>February</w:t>
      </w:r>
      <w:r>
        <w:rPr>
          <w:spacing w:val="-2"/>
        </w:rPr>
        <w:t xml:space="preserve"> </w:t>
      </w:r>
      <w:r>
        <w:t>11,</w:t>
      </w:r>
      <w:r>
        <w:rPr>
          <w:spacing w:val="-4"/>
        </w:rPr>
        <w:t xml:space="preserve"> </w:t>
      </w:r>
      <w:r>
        <w:t>2015</w:t>
      </w:r>
      <w:r>
        <w:rPr>
          <w:spacing w:val="-4"/>
        </w:rPr>
        <w:t xml:space="preserve"> </w:t>
      </w:r>
      <w:r>
        <w:t>to</w:t>
      </w:r>
      <w:r>
        <w:rPr>
          <w:spacing w:val="-1"/>
        </w:rPr>
        <w:t xml:space="preserve"> </w:t>
      </w:r>
      <w:r>
        <w:t>align</w:t>
      </w:r>
      <w:r>
        <w:rPr>
          <w:spacing w:val="-3"/>
        </w:rPr>
        <w:t xml:space="preserve"> </w:t>
      </w:r>
      <w:r>
        <w:t>with</w:t>
      </w:r>
      <w:r>
        <w:rPr>
          <w:spacing w:val="-2"/>
        </w:rPr>
        <w:t xml:space="preserve"> </w:t>
      </w:r>
      <w:r>
        <w:t>the</w:t>
      </w:r>
      <w:r>
        <w:rPr>
          <w:spacing w:val="-4"/>
        </w:rPr>
        <w:t xml:space="preserve"> </w:t>
      </w:r>
      <w:r>
        <w:t>Globally</w:t>
      </w:r>
      <w:r>
        <w:rPr>
          <w:spacing w:val="-4"/>
        </w:rPr>
        <w:t xml:space="preserve"> </w:t>
      </w:r>
      <w:r>
        <w:t>Harmonized System of Classification and Labelling of Chemicals (GHS). This legislation includes the:</w:t>
      </w:r>
    </w:p>
    <w:p w14:paraId="7F6AFAB9" w14:textId="77777777" w:rsidR="00BE3C78" w:rsidRDefault="00000000">
      <w:pPr>
        <w:pStyle w:val="ListParagraph"/>
        <w:numPr>
          <w:ilvl w:val="0"/>
          <w:numId w:val="1"/>
        </w:numPr>
        <w:tabs>
          <w:tab w:val="left" w:pos="820"/>
        </w:tabs>
        <w:spacing w:before="170"/>
        <w:rPr>
          <w:u w:val="none"/>
        </w:rPr>
      </w:pPr>
      <w:hyperlink r:id="rId5">
        <w:r>
          <w:rPr>
            <w:i/>
            <w:color w:val="0562C1"/>
            <w:u w:color="0562C1"/>
          </w:rPr>
          <w:t>Hazardous</w:t>
        </w:r>
        <w:r>
          <w:rPr>
            <w:i/>
            <w:color w:val="0562C1"/>
            <w:spacing w:val="-5"/>
            <w:u w:color="0562C1"/>
          </w:rPr>
          <w:t xml:space="preserve"> </w:t>
        </w:r>
        <w:r>
          <w:rPr>
            <w:i/>
            <w:color w:val="0562C1"/>
            <w:u w:color="0562C1"/>
          </w:rPr>
          <w:t>Products</w:t>
        </w:r>
        <w:r>
          <w:rPr>
            <w:i/>
            <w:color w:val="0562C1"/>
            <w:spacing w:val="-5"/>
            <w:u w:color="0562C1"/>
          </w:rPr>
          <w:t xml:space="preserve"> </w:t>
        </w:r>
        <w:r>
          <w:rPr>
            <w:i/>
            <w:color w:val="0562C1"/>
            <w:u w:color="0562C1"/>
          </w:rPr>
          <w:t>Act</w:t>
        </w:r>
        <w:r>
          <w:rPr>
            <w:i/>
            <w:color w:val="0562C1"/>
            <w:spacing w:val="-6"/>
            <w:u w:color="0562C1"/>
          </w:rPr>
          <w:t xml:space="preserve"> </w:t>
        </w:r>
        <w:r>
          <w:rPr>
            <w:color w:val="0562C1"/>
            <w:spacing w:val="-2"/>
            <w:u w:color="0562C1"/>
          </w:rPr>
          <w:t>(HPA)</w:t>
        </w:r>
      </w:hyperlink>
    </w:p>
    <w:p w14:paraId="46219453" w14:textId="77777777" w:rsidR="00BE3C78" w:rsidRDefault="00000000">
      <w:pPr>
        <w:pStyle w:val="ListParagraph"/>
        <w:numPr>
          <w:ilvl w:val="0"/>
          <w:numId w:val="1"/>
        </w:numPr>
        <w:tabs>
          <w:tab w:val="left" w:pos="820"/>
        </w:tabs>
        <w:spacing w:before="20"/>
        <w:rPr>
          <w:u w:val="none"/>
        </w:rPr>
      </w:pPr>
      <w:hyperlink r:id="rId6">
        <w:r>
          <w:rPr>
            <w:i/>
            <w:color w:val="0562C1"/>
            <w:u w:color="0562C1"/>
          </w:rPr>
          <w:t>Hazardous</w:t>
        </w:r>
        <w:r>
          <w:rPr>
            <w:i/>
            <w:color w:val="0562C1"/>
            <w:spacing w:val="-9"/>
            <w:u w:color="0562C1"/>
          </w:rPr>
          <w:t xml:space="preserve"> </w:t>
        </w:r>
        <w:r>
          <w:rPr>
            <w:i/>
            <w:color w:val="0562C1"/>
            <w:u w:color="0562C1"/>
          </w:rPr>
          <w:t>Products</w:t>
        </w:r>
        <w:r>
          <w:rPr>
            <w:i/>
            <w:color w:val="0562C1"/>
            <w:spacing w:val="-9"/>
            <w:u w:color="0562C1"/>
          </w:rPr>
          <w:t xml:space="preserve"> </w:t>
        </w:r>
        <w:r>
          <w:rPr>
            <w:i/>
            <w:color w:val="0562C1"/>
            <w:u w:color="0562C1"/>
          </w:rPr>
          <w:t>Regulations</w:t>
        </w:r>
        <w:r>
          <w:rPr>
            <w:i/>
            <w:color w:val="0562C1"/>
            <w:spacing w:val="-8"/>
            <w:u w:color="0562C1"/>
          </w:rPr>
          <w:t xml:space="preserve"> </w:t>
        </w:r>
        <w:r>
          <w:rPr>
            <w:color w:val="0562C1"/>
            <w:spacing w:val="-4"/>
            <w:u w:color="0562C1"/>
          </w:rPr>
          <w:t>(HPR)</w:t>
        </w:r>
      </w:hyperlink>
    </w:p>
    <w:p w14:paraId="11441D94" w14:textId="77777777" w:rsidR="00BE3C78" w:rsidRDefault="00000000">
      <w:pPr>
        <w:pStyle w:val="ListParagraph"/>
        <w:numPr>
          <w:ilvl w:val="0"/>
          <w:numId w:val="1"/>
        </w:numPr>
        <w:tabs>
          <w:tab w:val="left" w:pos="820"/>
        </w:tabs>
        <w:rPr>
          <w:u w:val="none"/>
        </w:rPr>
      </w:pPr>
      <w:hyperlink r:id="rId7">
        <w:r>
          <w:rPr>
            <w:i/>
            <w:color w:val="0562C1"/>
            <w:u w:color="0562C1"/>
          </w:rPr>
          <w:t>Hazardous</w:t>
        </w:r>
        <w:r>
          <w:rPr>
            <w:i/>
            <w:color w:val="0562C1"/>
            <w:spacing w:val="-6"/>
            <w:u w:color="0562C1"/>
          </w:rPr>
          <w:t xml:space="preserve"> </w:t>
        </w:r>
        <w:r>
          <w:rPr>
            <w:i/>
            <w:color w:val="0562C1"/>
            <w:u w:color="0562C1"/>
          </w:rPr>
          <w:t>Materials</w:t>
        </w:r>
        <w:r>
          <w:rPr>
            <w:i/>
            <w:color w:val="0562C1"/>
            <w:spacing w:val="-7"/>
            <w:u w:color="0562C1"/>
          </w:rPr>
          <w:t xml:space="preserve"> </w:t>
        </w:r>
        <w:r>
          <w:rPr>
            <w:i/>
            <w:color w:val="0562C1"/>
            <w:u w:color="0562C1"/>
          </w:rPr>
          <w:t>Information</w:t>
        </w:r>
        <w:r>
          <w:rPr>
            <w:i/>
            <w:color w:val="0562C1"/>
            <w:spacing w:val="-9"/>
            <w:u w:color="0562C1"/>
          </w:rPr>
          <w:t xml:space="preserve"> </w:t>
        </w:r>
        <w:r>
          <w:rPr>
            <w:i/>
            <w:color w:val="0562C1"/>
            <w:u w:color="0562C1"/>
          </w:rPr>
          <w:t>Review</w:t>
        </w:r>
        <w:r>
          <w:rPr>
            <w:i/>
            <w:color w:val="0562C1"/>
            <w:spacing w:val="-6"/>
            <w:u w:color="0562C1"/>
          </w:rPr>
          <w:t xml:space="preserve"> </w:t>
        </w:r>
        <w:r>
          <w:rPr>
            <w:i/>
            <w:color w:val="0562C1"/>
            <w:u w:color="0562C1"/>
          </w:rPr>
          <w:t>Act</w:t>
        </w:r>
        <w:r>
          <w:rPr>
            <w:i/>
            <w:color w:val="0562C1"/>
            <w:spacing w:val="-6"/>
            <w:u w:color="0562C1"/>
          </w:rPr>
          <w:t xml:space="preserve"> </w:t>
        </w:r>
        <w:r>
          <w:rPr>
            <w:color w:val="0562C1"/>
            <w:spacing w:val="-2"/>
            <w:u w:color="0562C1"/>
          </w:rPr>
          <w:t>(HMIRA)</w:t>
        </w:r>
      </w:hyperlink>
    </w:p>
    <w:p w14:paraId="7D2F800B" w14:textId="77777777" w:rsidR="00BE3C78" w:rsidRDefault="00000000">
      <w:pPr>
        <w:pStyle w:val="ListParagraph"/>
        <w:numPr>
          <w:ilvl w:val="0"/>
          <w:numId w:val="1"/>
        </w:numPr>
        <w:tabs>
          <w:tab w:val="left" w:pos="820"/>
        </w:tabs>
        <w:rPr>
          <w:u w:val="none"/>
        </w:rPr>
      </w:pPr>
      <w:hyperlink r:id="rId8">
        <w:r>
          <w:rPr>
            <w:i/>
            <w:color w:val="0562C1"/>
            <w:u w:color="0562C1"/>
          </w:rPr>
          <w:t>Hazardous</w:t>
        </w:r>
        <w:r>
          <w:rPr>
            <w:i/>
            <w:color w:val="0562C1"/>
            <w:spacing w:val="-9"/>
            <w:u w:color="0562C1"/>
          </w:rPr>
          <w:t xml:space="preserve"> </w:t>
        </w:r>
        <w:r>
          <w:rPr>
            <w:i/>
            <w:color w:val="0562C1"/>
            <w:u w:color="0562C1"/>
          </w:rPr>
          <w:t>Materials</w:t>
        </w:r>
        <w:r>
          <w:rPr>
            <w:i/>
            <w:color w:val="0562C1"/>
            <w:spacing w:val="-9"/>
            <w:u w:color="0562C1"/>
          </w:rPr>
          <w:t xml:space="preserve"> </w:t>
        </w:r>
        <w:r>
          <w:rPr>
            <w:i/>
            <w:color w:val="0562C1"/>
            <w:u w:color="0562C1"/>
          </w:rPr>
          <w:t>Information</w:t>
        </w:r>
        <w:r>
          <w:rPr>
            <w:i/>
            <w:color w:val="0562C1"/>
            <w:spacing w:val="-11"/>
            <w:u w:color="0562C1"/>
          </w:rPr>
          <w:t xml:space="preserve"> </w:t>
        </w:r>
        <w:r>
          <w:rPr>
            <w:i/>
            <w:color w:val="0562C1"/>
            <w:u w:color="0562C1"/>
          </w:rPr>
          <w:t>Review</w:t>
        </w:r>
        <w:r>
          <w:rPr>
            <w:i/>
            <w:color w:val="0562C1"/>
            <w:spacing w:val="-9"/>
            <w:u w:color="0562C1"/>
          </w:rPr>
          <w:t xml:space="preserve"> </w:t>
        </w:r>
        <w:r>
          <w:rPr>
            <w:i/>
            <w:color w:val="0562C1"/>
            <w:u w:color="0562C1"/>
          </w:rPr>
          <w:t>Regulations</w:t>
        </w:r>
        <w:r>
          <w:rPr>
            <w:i/>
            <w:color w:val="0562C1"/>
            <w:spacing w:val="-8"/>
            <w:u w:color="0562C1"/>
          </w:rPr>
          <w:t xml:space="preserve"> </w:t>
        </w:r>
        <w:r>
          <w:rPr>
            <w:color w:val="0562C1"/>
            <w:spacing w:val="-2"/>
            <w:u w:color="0562C1"/>
          </w:rPr>
          <w:t>(HMIRR)</w:t>
        </w:r>
      </w:hyperlink>
    </w:p>
    <w:p w14:paraId="22501890" w14:textId="77777777" w:rsidR="00BE3C78" w:rsidRDefault="00BE3C78">
      <w:pPr>
        <w:pStyle w:val="BodyText"/>
        <w:spacing w:before="42"/>
      </w:pPr>
    </w:p>
    <w:p w14:paraId="75CB1BCF" w14:textId="77777777" w:rsidR="00BE3C78" w:rsidRDefault="00000000">
      <w:pPr>
        <w:pStyle w:val="BodyText"/>
        <w:spacing w:line="259" w:lineRule="auto"/>
        <w:ind w:left="100" w:right="173"/>
        <w:jc w:val="both"/>
      </w:pPr>
      <w:r>
        <w:t>The</w:t>
      </w:r>
      <w:r>
        <w:rPr>
          <w:spacing w:val="-2"/>
        </w:rPr>
        <w:t xml:space="preserve"> </w:t>
      </w:r>
      <w:r>
        <w:t>HPR</w:t>
      </w:r>
      <w:r>
        <w:rPr>
          <w:spacing w:val="-2"/>
        </w:rPr>
        <w:t xml:space="preserve"> </w:t>
      </w:r>
      <w:r>
        <w:t>sets</w:t>
      </w:r>
      <w:r>
        <w:rPr>
          <w:spacing w:val="-4"/>
        </w:rPr>
        <w:t xml:space="preserve"> </w:t>
      </w:r>
      <w:r>
        <w:t>out</w:t>
      </w:r>
      <w:r>
        <w:rPr>
          <w:spacing w:val="-2"/>
        </w:rPr>
        <w:t xml:space="preserve"> </w:t>
      </w:r>
      <w:r>
        <w:t>the</w:t>
      </w:r>
      <w:r>
        <w:rPr>
          <w:spacing w:val="-2"/>
        </w:rPr>
        <w:t xml:space="preserve"> </w:t>
      </w:r>
      <w:r>
        <w:t>hazard</w:t>
      </w:r>
      <w:r>
        <w:rPr>
          <w:spacing w:val="-3"/>
        </w:rPr>
        <w:t xml:space="preserve"> </w:t>
      </w:r>
      <w:r>
        <w:t>classification</w:t>
      </w:r>
      <w:r>
        <w:rPr>
          <w:spacing w:val="-3"/>
        </w:rPr>
        <w:t xml:space="preserve"> </w:t>
      </w:r>
      <w:r>
        <w:t>and</w:t>
      </w:r>
      <w:r>
        <w:rPr>
          <w:spacing w:val="-4"/>
        </w:rPr>
        <w:t xml:space="preserve"> </w:t>
      </w:r>
      <w:r>
        <w:t>hazard</w:t>
      </w:r>
      <w:r>
        <w:rPr>
          <w:spacing w:val="-6"/>
        </w:rPr>
        <w:t xml:space="preserve"> </w:t>
      </w:r>
      <w:r>
        <w:t>communication</w:t>
      </w:r>
      <w:r>
        <w:rPr>
          <w:spacing w:val="-3"/>
        </w:rPr>
        <w:t xml:space="preserve"> </w:t>
      </w:r>
      <w:r>
        <w:t>requirements. The</w:t>
      </w:r>
      <w:r>
        <w:rPr>
          <w:spacing w:val="-2"/>
        </w:rPr>
        <w:t xml:space="preserve"> </w:t>
      </w:r>
      <w:r>
        <w:t>HMIRA</w:t>
      </w:r>
      <w:r>
        <w:rPr>
          <w:spacing w:val="-3"/>
        </w:rPr>
        <w:t xml:space="preserve"> </w:t>
      </w:r>
      <w:r>
        <w:t>and</w:t>
      </w:r>
      <w:r>
        <w:rPr>
          <w:spacing w:val="-4"/>
        </w:rPr>
        <w:t xml:space="preserve"> </w:t>
      </w:r>
      <w:r>
        <w:t>its regulations</w:t>
      </w:r>
      <w:r>
        <w:rPr>
          <w:spacing w:val="-1"/>
        </w:rPr>
        <w:t xml:space="preserve"> </w:t>
      </w:r>
      <w:r>
        <w:t>allow</w:t>
      </w:r>
      <w:r>
        <w:rPr>
          <w:spacing w:val="-3"/>
        </w:rPr>
        <w:t xml:space="preserve"> </w:t>
      </w:r>
      <w:r>
        <w:t>confidential business information</w:t>
      </w:r>
      <w:r>
        <w:rPr>
          <w:spacing w:val="-4"/>
        </w:rPr>
        <w:t xml:space="preserve"> </w:t>
      </w:r>
      <w:r>
        <w:t>to</w:t>
      </w:r>
      <w:r>
        <w:rPr>
          <w:spacing w:val="-2"/>
        </w:rPr>
        <w:t xml:space="preserve"> </w:t>
      </w:r>
      <w:r>
        <w:t>be</w:t>
      </w:r>
      <w:r>
        <w:rPr>
          <w:spacing w:val="-1"/>
        </w:rPr>
        <w:t xml:space="preserve"> </w:t>
      </w:r>
      <w:r>
        <w:t>protected</w:t>
      </w:r>
      <w:r>
        <w:rPr>
          <w:spacing w:val="-1"/>
        </w:rPr>
        <w:t xml:space="preserve"> </w:t>
      </w:r>
      <w:r>
        <w:t>and</w:t>
      </w:r>
      <w:r>
        <w:rPr>
          <w:spacing w:val="-3"/>
        </w:rPr>
        <w:t xml:space="preserve"> </w:t>
      </w:r>
      <w:r>
        <w:t>sets</w:t>
      </w:r>
      <w:r>
        <w:rPr>
          <w:spacing w:val="-3"/>
        </w:rPr>
        <w:t xml:space="preserve"> </w:t>
      </w:r>
      <w:r>
        <w:t>out</w:t>
      </w:r>
      <w:r>
        <w:rPr>
          <w:spacing w:val="-1"/>
        </w:rPr>
        <w:t xml:space="preserve"> </w:t>
      </w:r>
      <w:r>
        <w:t>the</w:t>
      </w:r>
      <w:r>
        <w:rPr>
          <w:spacing w:val="-1"/>
        </w:rPr>
        <w:t xml:space="preserve"> </w:t>
      </w:r>
      <w:r>
        <w:t>process for</w:t>
      </w:r>
      <w:r>
        <w:rPr>
          <w:spacing w:val="-1"/>
        </w:rPr>
        <w:t xml:space="preserve"> </w:t>
      </w:r>
      <w:r>
        <w:t>filing</w:t>
      </w:r>
      <w:r>
        <w:rPr>
          <w:spacing w:val="-2"/>
        </w:rPr>
        <w:t xml:space="preserve"> </w:t>
      </w:r>
      <w:r>
        <w:t>a claim for exemption.</w:t>
      </w:r>
    </w:p>
    <w:p w14:paraId="0BF6C9B1" w14:textId="77777777" w:rsidR="00BE3C78" w:rsidRDefault="00000000">
      <w:pPr>
        <w:pStyle w:val="BodyText"/>
        <w:spacing w:before="159" w:line="256" w:lineRule="auto"/>
        <w:ind w:left="100" w:right="119"/>
        <w:jc w:val="both"/>
      </w:pPr>
      <w:r>
        <w:t>The</w:t>
      </w:r>
      <w:r>
        <w:rPr>
          <w:spacing w:val="-2"/>
        </w:rPr>
        <w:t xml:space="preserve"> </w:t>
      </w:r>
      <w:r>
        <w:rPr>
          <w:i/>
        </w:rPr>
        <w:t>Hazardous</w:t>
      </w:r>
      <w:r>
        <w:rPr>
          <w:i/>
          <w:spacing w:val="-4"/>
        </w:rPr>
        <w:t xml:space="preserve"> </w:t>
      </w:r>
      <w:r>
        <w:rPr>
          <w:i/>
        </w:rPr>
        <w:t>Products</w:t>
      </w:r>
      <w:r>
        <w:rPr>
          <w:i/>
          <w:spacing w:val="-5"/>
        </w:rPr>
        <w:t xml:space="preserve"> </w:t>
      </w:r>
      <w:r>
        <w:rPr>
          <w:i/>
        </w:rPr>
        <w:t xml:space="preserve">Regulations </w:t>
      </w:r>
      <w:r>
        <w:t>set</w:t>
      </w:r>
      <w:r>
        <w:rPr>
          <w:spacing w:val="-4"/>
        </w:rPr>
        <w:t xml:space="preserve"> </w:t>
      </w:r>
      <w:r>
        <w:t>out</w:t>
      </w:r>
      <w:r>
        <w:rPr>
          <w:spacing w:val="-4"/>
        </w:rPr>
        <w:t xml:space="preserve"> </w:t>
      </w:r>
      <w:r>
        <w:t>specific</w:t>
      </w:r>
      <w:r>
        <w:rPr>
          <w:spacing w:val="-2"/>
        </w:rPr>
        <w:t xml:space="preserve"> </w:t>
      </w:r>
      <w:r>
        <w:t>hazard</w:t>
      </w:r>
      <w:r>
        <w:rPr>
          <w:spacing w:val="-4"/>
        </w:rPr>
        <w:t xml:space="preserve"> </w:t>
      </w:r>
      <w:r>
        <w:t>classification</w:t>
      </w:r>
      <w:r>
        <w:rPr>
          <w:spacing w:val="-3"/>
        </w:rPr>
        <w:t xml:space="preserve"> </w:t>
      </w:r>
      <w:r>
        <w:t>criteria.</w:t>
      </w:r>
      <w:r>
        <w:rPr>
          <w:spacing w:val="-4"/>
        </w:rPr>
        <w:t xml:space="preserve"> </w:t>
      </w:r>
      <w:r>
        <w:t>If</w:t>
      </w:r>
      <w:r>
        <w:rPr>
          <w:spacing w:val="-2"/>
        </w:rPr>
        <w:t xml:space="preserve"> </w:t>
      </w:r>
      <w:r>
        <w:t>a</w:t>
      </w:r>
      <w:r>
        <w:rPr>
          <w:spacing w:val="-2"/>
        </w:rPr>
        <w:t xml:space="preserve"> </w:t>
      </w:r>
      <w:r>
        <w:t>product</w:t>
      </w:r>
      <w:r>
        <w:rPr>
          <w:spacing w:val="-4"/>
        </w:rPr>
        <w:t xml:space="preserve"> </w:t>
      </w:r>
      <w:r>
        <w:t>meets</w:t>
      </w:r>
      <w:r>
        <w:rPr>
          <w:spacing w:val="-1"/>
        </w:rPr>
        <w:t xml:space="preserve"> </w:t>
      </w:r>
      <w:r>
        <w:t>the criteria</w:t>
      </w:r>
      <w:r>
        <w:rPr>
          <w:spacing w:val="-1"/>
        </w:rPr>
        <w:t xml:space="preserve"> </w:t>
      </w:r>
      <w:r>
        <w:t>laid</w:t>
      </w:r>
      <w:r>
        <w:rPr>
          <w:spacing w:val="-4"/>
        </w:rPr>
        <w:t xml:space="preserve"> </w:t>
      </w:r>
      <w:r>
        <w:t>out</w:t>
      </w:r>
      <w:r>
        <w:rPr>
          <w:spacing w:val="-1"/>
        </w:rPr>
        <w:t xml:space="preserve"> </w:t>
      </w:r>
      <w:r>
        <w:t>in</w:t>
      </w:r>
      <w:r>
        <w:rPr>
          <w:spacing w:val="-5"/>
        </w:rPr>
        <w:t xml:space="preserve"> </w:t>
      </w:r>
      <w:r>
        <w:t>the</w:t>
      </w:r>
      <w:r>
        <w:rPr>
          <w:spacing w:val="-1"/>
        </w:rPr>
        <w:t xml:space="preserve"> </w:t>
      </w:r>
      <w:r>
        <w:t>regulations,</w:t>
      </w:r>
      <w:r>
        <w:rPr>
          <w:spacing w:val="-1"/>
        </w:rPr>
        <w:t xml:space="preserve"> </w:t>
      </w:r>
      <w:r>
        <w:t>it</w:t>
      </w:r>
      <w:r>
        <w:rPr>
          <w:spacing w:val="-1"/>
        </w:rPr>
        <w:t xml:space="preserve"> </w:t>
      </w:r>
      <w:r>
        <w:t>is</w:t>
      </w:r>
      <w:r>
        <w:rPr>
          <w:spacing w:val="-4"/>
        </w:rPr>
        <w:t xml:space="preserve"> </w:t>
      </w:r>
      <w:r>
        <w:t>classified</w:t>
      </w:r>
      <w:r>
        <w:rPr>
          <w:spacing w:val="-2"/>
        </w:rPr>
        <w:t xml:space="preserve"> </w:t>
      </w:r>
      <w:r>
        <w:t>as</w:t>
      </w:r>
      <w:r>
        <w:rPr>
          <w:spacing w:val="-1"/>
        </w:rPr>
        <w:t xml:space="preserve"> </w:t>
      </w:r>
      <w:r>
        <w:t>a</w:t>
      </w:r>
      <w:r>
        <w:rPr>
          <w:spacing w:val="-1"/>
        </w:rPr>
        <w:t xml:space="preserve"> </w:t>
      </w:r>
      <w:r>
        <w:rPr>
          <w:b/>
        </w:rPr>
        <w:t>hazardous</w:t>
      </w:r>
      <w:r>
        <w:rPr>
          <w:b/>
          <w:spacing w:val="-1"/>
        </w:rPr>
        <w:t xml:space="preserve"> </w:t>
      </w:r>
      <w:r>
        <w:rPr>
          <w:b/>
        </w:rPr>
        <w:t>product</w:t>
      </w:r>
      <w:r>
        <w:t>.</w:t>
      </w:r>
      <w:r>
        <w:rPr>
          <w:spacing w:val="-1"/>
        </w:rPr>
        <w:t xml:space="preserve"> </w:t>
      </w:r>
      <w:r>
        <w:t>All</w:t>
      </w:r>
      <w:r>
        <w:rPr>
          <w:spacing w:val="-1"/>
        </w:rPr>
        <w:t xml:space="preserve"> </w:t>
      </w:r>
      <w:r>
        <w:t>hazardous</w:t>
      </w:r>
      <w:r>
        <w:rPr>
          <w:spacing w:val="-1"/>
        </w:rPr>
        <w:t xml:space="preserve"> </w:t>
      </w:r>
      <w:r>
        <w:t>products used</w:t>
      </w:r>
      <w:r>
        <w:rPr>
          <w:spacing w:val="-1"/>
        </w:rPr>
        <w:t xml:space="preserve"> </w:t>
      </w:r>
      <w:r>
        <w:t>in the workplace are covered by WHMIS regulations.</w:t>
      </w:r>
    </w:p>
    <w:p w14:paraId="15A43796" w14:textId="77777777" w:rsidR="00BE3C78" w:rsidRDefault="00000000">
      <w:pPr>
        <w:pStyle w:val="BodyText"/>
        <w:spacing w:before="168" w:line="259" w:lineRule="auto"/>
        <w:ind w:left="100" w:right="72"/>
      </w:pPr>
      <w:r>
        <w:t>This change in legislation resulted in the alignment of Canada’s Workplace Hazardous Materials Information System (WHMIS) with the Globally Harmonized System of Classification and Labelling of Chemicals (GHS). The previous version of WHMIS is now referred to as WHMIS 1988 and the new WHMIS</w:t>
      </w:r>
      <w:r>
        <w:rPr>
          <w:spacing w:val="-1"/>
        </w:rPr>
        <w:t xml:space="preserve"> </w:t>
      </w:r>
      <w:r>
        <w:t>is</w:t>
      </w:r>
      <w:r>
        <w:rPr>
          <w:spacing w:val="-4"/>
        </w:rPr>
        <w:t xml:space="preserve"> </w:t>
      </w:r>
      <w:r>
        <w:t>WHMIS</w:t>
      </w:r>
      <w:r>
        <w:rPr>
          <w:spacing w:val="-4"/>
        </w:rPr>
        <w:t xml:space="preserve"> </w:t>
      </w:r>
      <w:r>
        <w:t>2015.</w:t>
      </w:r>
      <w:r>
        <w:rPr>
          <w:spacing w:val="-1"/>
        </w:rPr>
        <w:t xml:space="preserve"> </w:t>
      </w:r>
      <w:r>
        <w:t>WHMIS</w:t>
      </w:r>
      <w:r>
        <w:rPr>
          <w:spacing w:val="-2"/>
        </w:rPr>
        <w:t xml:space="preserve"> </w:t>
      </w:r>
      <w:r>
        <w:t>2015</w:t>
      </w:r>
      <w:r>
        <w:rPr>
          <w:spacing w:val="-1"/>
        </w:rPr>
        <w:t xml:space="preserve"> </w:t>
      </w:r>
      <w:r>
        <w:t>came</w:t>
      </w:r>
      <w:r>
        <w:rPr>
          <w:spacing w:val="-3"/>
        </w:rPr>
        <w:t xml:space="preserve"> </w:t>
      </w:r>
      <w:r>
        <w:t>into</w:t>
      </w:r>
      <w:r>
        <w:rPr>
          <w:spacing w:val="-3"/>
        </w:rPr>
        <w:t xml:space="preserve"> </w:t>
      </w:r>
      <w:r>
        <w:t>full</w:t>
      </w:r>
      <w:r>
        <w:rPr>
          <w:spacing w:val="-1"/>
        </w:rPr>
        <w:t xml:space="preserve"> </w:t>
      </w:r>
      <w:r>
        <w:t>effect</w:t>
      </w:r>
      <w:r>
        <w:rPr>
          <w:spacing w:val="-1"/>
        </w:rPr>
        <w:t xml:space="preserve"> </w:t>
      </w:r>
      <w:r>
        <w:t>as</w:t>
      </w:r>
      <w:r>
        <w:rPr>
          <w:spacing w:val="-3"/>
        </w:rPr>
        <w:t xml:space="preserve"> </w:t>
      </w:r>
      <w:r>
        <w:t>of</w:t>
      </w:r>
      <w:r>
        <w:rPr>
          <w:spacing w:val="-4"/>
        </w:rPr>
        <w:t xml:space="preserve"> </w:t>
      </w:r>
      <w:r>
        <w:t>December</w:t>
      </w:r>
      <w:r>
        <w:rPr>
          <w:spacing w:val="-3"/>
        </w:rPr>
        <w:t xml:space="preserve"> </w:t>
      </w:r>
      <w:r>
        <w:t>1,</w:t>
      </w:r>
      <w:r>
        <w:rPr>
          <w:spacing w:val="-4"/>
        </w:rPr>
        <w:t xml:space="preserve"> </w:t>
      </w:r>
      <w:r>
        <w:t>2018. The</w:t>
      </w:r>
      <w:r>
        <w:rPr>
          <w:spacing w:val="-1"/>
        </w:rPr>
        <w:t xml:space="preserve"> </w:t>
      </w:r>
      <w:r>
        <w:t>provinces and territories were also required to update their legislation and regulations to WHMIS 2015.</w:t>
      </w:r>
    </w:p>
    <w:p w14:paraId="57F53661" w14:textId="77777777" w:rsidR="00BE3C78" w:rsidRDefault="00000000">
      <w:pPr>
        <w:pStyle w:val="BodyText"/>
        <w:spacing w:before="158" w:line="259" w:lineRule="auto"/>
        <w:ind w:left="100" w:right="72"/>
      </w:pPr>
      <w:r>
        <w:t>A WHMIS program must be in place for any workplace where hazardous products are used. Workers must</w:t>
      </w:r>
      <w:r>
        <w:rPr>
          <w:spacing w:val="-1"/>
        </w:rPr>
        <w:t xml:space="preserve"> </w:t>
      </w:r>
      <w:r>
        <w:t>be</w:t>
      </w:r>
      <w:r>
        <w:rPr>
          <w:spacing w:val="-2"/>
        </w:rPr>
        <w:t xml:space="preserve"> </w:t>
      </w:r>
      <w:r>
        <w:t>provided</w:t>
      </w:r>
      <w:r>
        <w:rPr>
          <w:spacing w:val="-5"/>
        </w:rPr>
        <w:t xml:space="preserve"> </w:t>
      </w:r>
      <w:r>
        <w:t>education</w:t>
      </w:r>
      <w:r>
        <w:rPr>
          <w:spacing w:val="-3"/>
        </w:rPr>
        <w:t xml:space="preserve"> </w:t>
      </w:r>
      <w:r>
        <w:t>and</w:t>
      </w:r>
      <w:r>
        <w:rPr>
          <w:spacing w:val="-4"/>
        </w:rPr>
        <w:t xml:space="preserve"> </w:t>
      </w:r>
      <w:r>
        <w:t>training</w:t>
      </w:r>
      <w:r>
        <w:rPr>
          <w:spacing w:val="-3"/>
        </w:rPr>
        <w:t xml:space="preserve"> </w:t>
      </w:r>
      <w:r>
        <w:t>to</w:t>
      </w:r>
      <w:r>
        <w:rPr>
          <w:spacing w:val="-4"/>
        </w:rPr>
        <w:t xml:space="preserve"> </w:t>
      </w:r>
      <w:r>
        <w:t>understand</w:t>
      </w:r>
      <w:r>
        <w:rPr>
          <w:spacing w:val="-3"/>
        </w:rPr>
        <w:t xml:space="preserve"> </w:t>
      </w:r>
      <w:r>
        <w:t>the</w:t>
      </w:r>
      <w:r>
        <w:rPr>
          <w:spacing w:val="-2"/>
        </w:rPr>
        <w:t xml:space="preserve"> </w:t>
      </w:r>
      <w:r>
        <w:t>hazards,</w:t>
      </w:r>
      <w:r>
        <w:rPr>
          <w:spacing w:val="-2"/>
        </w:rPr>
        <w:t xml:space="preserve"> </w:t>
      </w:r>
      <w:r>
        <w:t>safe</w:t>
      </w:r>
      <w:r>
        <w:rPr>
          <w:spacing w:val="-2"/>
        </w:rPr>
        <w:t xml:space="preserve"> </w:t>
      </w:r>
      <w:r>
        <w:t>use,</w:t>
      </w:r>
      <w:r>
        <w:rPr>
          <w:spacing w:val="-2"/>
        </w:rPr>
        <w:t xml:space="preserve"> </w:t>
      </w:r>
      <w:r>
        <w:t>handing</w:t>
      </w:r>
      <w:r>
        <w:rPr>
          <w:spacing w:val="-3"/>
        </w:rPr>
        <w:t xml:space="preserve"> </w:t>
      </w:r>
      <w:r>
        <w:t>and</w:t>
      </w:r>
      <w:r>
        <w:rPr>
          <w:spacing w:val="-4"/>
        </w:rPr>
        <w:t xml:space="preserve"> </w:t>
      </w:r>
      <w:r>
        <w:t>storage</w:t>
      </w:r>
      <w:r>
        <w:rPr>
          <w:spacing w:val="-4"/>
        </w:rPr>
        <w:t xml:space="preserve"> </w:t>
      </w:r>
      <w:r>
        <w:t>of these hazardous products.</w:t>
      </w:r>
    </w:p>
    <w:p w14:paraId="75340C9D" w14:textId="77777777" w:rsidR="00BE3C78" w:rsidRDefault="00000000">
      <w:pPr>
        <w:pStyle w:val="BodyText"/>
        <w:spacing w:before="159" w:line="259" w:lineRule="auto"/>
        <w:ind w:left="100"/>
      </w:pPr>
      <w:r>
        <w:t>WHMIS 2015 differentiates between education and training. Education refers to the general WHMIS information</w:t>
      </w:r>
      <w:r>
        <w:rPr>
          <w:spacing w:val="-2"/>
        </w:rPr>
        <w:t xml:space="preserve"> </w:t>
      </w:r>
      <w:r>
        <w:t>and</w:t>
      </w:r>
      <w:r>
        <w:rPr>
          <w:spacing w:val="-3"/>
        </w:rPr>
        <w:t xml:space="preserve"> </w:t>
      </w:r>
      <w:r>
        <w:t>hazards</w:t>
      </w:r>
      <w:r>
        <w:rPr>
          <w:spacing w:val="-4"/>
        </w:rPr>
        <w:t xml:space="preserve"> </w:t>
      </w:r>
      <w:r>
        <w:t>of</w:t>
      </w:r>
      <w:r>
        <w:rPr>
          <w:spacing w:val="-4"/>
        </w:rPr>
        <w:t xml:space="preserve"> </w:t>
      </w:r>
      <w:r>
        <w:t>the</w:t>
      </w:r>
      <w:r>
        <w:rPr>
          <w:spacing w:val="-2"/>
        </w:rPr>
        <w:t xml:space="preserve"> </w:t>
      </w:r>
      <w:r>
        <w:t>products. Training</w:t>
      </w:r>
      <w:r>
        <w:rPr>
          <w:spacing w:val="-2"/>
        </w:rPr>
        <w:t xml:space="preserve"> </w:t>
      </w:r>
      <w:r>
        <w:t>refers</w:t>
      </w:r>
      <w:r>
        <w:rPr>
          <w:spacing w:val="-2"/>
        </w:rPr>
        <w:t xml:space="preserve"> </w:t>
      </w:r>
      <w:r>
        <w:t>to</w:t>
      </w:r>
      <w:r>
        <w:rPr>
          <w:spacing w:val="-3"/>
        </w:rPr>
        <w:t xml:space="preserve"> </w:t>
      </w:r>
      <w:r>
        <w:t>the</w:t>
      </w:r>
      <w:r>
        <w:rPr>
          <w:spacing w:val="-3"/>
        </w:rPr>
        <w:t xml:space="preserve"> </w:t>
      </w:r>
      <w:r>
        <w:t>specific</w:t>
      </w:r>
      <w:r>
        <w:rPr>
          <w:spacing w:val="-4"/>
        </w:rPr>
        <w:t xml:space="preserve"> </w:t>
      </w:r>
      <w:r>
        <w:t>worksite</w:t>
      </w:r>
      <w:r>
        <w:rPr>
          <w:spacing w:val="-3"/>
        </w:rPr>
        <w:t xml:space="preserve"> </w:t>
      </w:r>
      <w:r>
        <w:t>or</w:t>
      </w:r>
      <w:r>
        <w:rPr>
          <w:spacing w:val="-2"/>
        </w:rPr>
        <w:t xml:space="preserve"> </w:t>
      </w:r>
      <w:r>
        <w:t>job</w:t>
      </w:r>
      <w:r>
        <w:rPr>
          <w:spacing w:val="-2"/>
        </w:rPr>
        <w:t xml:space="preserve"> </w:t>
      </w:r>
      <w:r>
        <w:t>information</w:t>
      </w:r>
      <w:r>
        <w:rPr>
          <w:spacing w:val="-5"/>
        </w:rPr>
        <w:t xml:space="preserve"> </w:t>
      </w:r>
      <w:r>
        <w:t xml:space="preserve">that the worker receives to understand the workplace’s procedures for safe use, handing, storage, and </w:t>
      </w:r>
      <w:r>
        <w:rPr>
          <w:spacing w:val="-2"/>
        </w:rPr>
        <w:t>emergencies.</w:t>
      </w:r>
    </w:p>
    <w:p w14:paraId="68D4DA05" w14:textId="77777777" w:rsidR="00BE3C78" w:rsidRDefault="00000000">
      <w:pPr>
        <w:pStyle w:val="BodyText"/>
        <w:spacing w:before="160" w:line="259" w:lineRule="auto"/>
        <w:ind w:left="100" w:right="72"/>
      </w:pPr>
      <w:r>
        <w:rPr>
          <w:b/>
        </w:rPr>
        <w:t xml:space="preserve">Note: </w:t>
      </w:r>
      <w:r>
        <w:t xml:space="preserve">The federal </w:t>
      </w:r>
      <w:r>
        <w:rPr>
          <w:i/>
        </w:rPr>
        <w:t xml:space="preserve">Transportation of Dangerous Goods Act </w:t>
      </w:r>
      <w:r>
        <w:t xml:space="preserve">(TDG) is not the same as WHMIS legislation. The </w:t>
      </w:r>
      <w:hyperlink r:id="rId9">
        <w:r>
          <w:rPr>
            <w:color w:val="0562C1"/>
            <w:u w:val="single" w:color="0562C1"/>
          </w:rPr>
          <w:t>TDG</w:t>
        </w:r>
      </w:hyperlink>
      <w:r>
        <w:rPr>
          <w:color w:val="0562C1"/>
        </w:rPr>
        <w:t xml:space="preserve"> </w:t>
      </w:r>
      <w:r>
        <w:t>protects the general public from hazards associated with the transport of hazardous products on public roads, in the air, by rail or on waterways. WHMIS protects workers at workplaces from hazardous</w:t>
      </w:r>
      <w:r>
        <w:rPr>
          <w:spacing w:val="-3"/>
        </w:rPr>
        <w:t xml:space="preserve"> </w:t>
      </w:r>
      <w:r>
        <w:t>products</w:t>
      </w:r>
      <w:r>
        <w:rPr>
          <w:spacing w:val="-5"/>
        </w:rPr>
        <w:t xml:space="preserve"> </w:t>
      </w:r>
      <w:r>
        <w:t>by</w:t>
      </w:r>
      <w:r>
        <w:rPr>
          <w:spacing w:val="-2"/>
        </w:rPr>
        <w:t xml:space="preserve"> </w:t>
      </w:r>
      <w:r>
        <w:t>providing</w:t>
      </w:r>
      <w:r>
        <w:rPr>
          <w:spacing w:val="-4"/>
        </w:rPr>
        <w:t xml:space="preserve"> </w:t>
      </w:r>
      <w:r>
        <w:t>product</w:t>
      </w:r>
      <w:r>
        <w:rPr>
          <w:spacing w:val="-2"/>
        </w:rPr>
        <w:t xml:space="preserve"> </w:t>
      </w:r>
      <w:r>
        <w:t>hazard</w:t>
      </w:r>
      <w:r>
        <w:rPr>
          <w:spacing w:val="-5"/>
        </w:rPr>
        <w:t xml:space="preserve"> </w:t>
      </w:r>
      <w:r>
        <w:t>information</w:t>
      </w:r>
      <w:r>
        <w:rPr>
          <w:spacing w:val="-4"/>
        </w:rPr>
        <w:t xml:space="preserve"> </w:t>
      </w:r>
      <w:r>
        <w:t>to</w:t>
      </w:r>
      <w:r>
        <w:rPr>
          <w:spacing w:val="-2"/>
        </w:rPr>
        <w:t xml:space="preserve"> </w:t>
      </w:r>
      <w:r>
        <w:t>promote</w:t>
      </w:r>
      <w:r>
        <w:rPr>
          <w:spacing w:val="-3"/>
        </w:rPr>
        <w:t xml:space="preserve"> </w:t>
      </w:r>
      <w:r>
        <w:t>safe</w:t>
      </w:r>
      <w:r>
        <w:rPr>
          <w:spacing w:val="-3"/>
        </w:rPr>
        <w:t xml:space="preserve"> </w:t>
      </w:r>
      <w:r>
        <w:t>use,</w:t>
      </w:r>
      <w:r>
        <w:rPr>
          <w:spacing w:val="-3"/>
        </w:rPr>
        <w:t xml:space="preserve"> </w:t>
      </w:r>
      <w:r>
        <w:t>handing</w:t>
      </w:r>
      <w:r>
        <w:rPr>
          <w:spacing w:val="-4"/>
        </w:rPr>
        <w:t xml:space="preserve"> </w:t>
      </w:r>
      <w:r>
        <w:t>and</w:t>
      </w:r>
      <w:r>
        <w:rPr>
          <w:spacing w:val="-5"/>
        </w:rPr>
        <w:t xml:space="preserve"> </w:t>
      </w:r>
      <w:r>
        <w:t>storage.</w:t>
      </w:r>
    </w:p>
    <w:sectPr w:rsidR="00BE3C78">
      <w:type w:val="continuous"/>
      <w:pgSz w:w="12240" w:h="15840"/>
      <w:pgMar w:top="80" w:right="14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A6645"/>
    <w:multiLevelType w:val="hybridMultilevel"/>
    <w:tmpl w:val="62CEE2E0"/>
    <w:lvl w:ilvl="0" w:tplc="2952B7B8">
      <w:numFmt w:val="bullet"/>
      <w:lvlText w:val="•"/>
      <w:lvlJc w:val="left"/>
      <w:pPr>
        <w:ind w:left="820" w:hanging="360"/>
      </w:pPr>
      <w:rPr>
        <w:rFonts w:ascii="Verdana" w:eastAsia="Verdana" w:hAnsi="Verdana" w:cs="Verdana" w:hint="default"/>
        <w:b w:val="0"/>
        <w:bCs w:val="0"/>
        <w:i w:val="0"/>
        <w:iCs w:val="0"/>
        <w:spacing w:val="0"/>
        <w:w w:val="84"/>
        <w:sz w:val="22"/>
        <w:szCs w:val="22"/>
        <w:lang w:val="en-US" w:eastAsia="en-US" w:bidi="ar-SA"/>
      </w:rPr>
    </w:lvl>
    <w:lvl w:ilvl="1" w:tplc="C06430A6">
      <w:numFmt w:val="bullet"/>
      <w:lvlText w:val="•"/>
      <w:lvlJc w:val="left"/>
      <w:pPr>
        <w:ind w:left="1688" w:hanging="360"/>
      </w:pPr>
      <w:rPr>
        <w:rFonts w:hint="default"/>
        <w:lang w:val="en-US" w:eastAsia="en-US" w:bidi="ar-SA"/>
      </w:rPr>
    </w:lvl>
    <w:lvl w:ilvl="2" w:tplc="A99AE826">
      <w:numFmt w:val="bullet"/>
      <w:lvlText w:val="•"/>
      <w:lvlJc w:val="left"/>
      <w:pPr>
        <w:ind w:left="2556" w:hanging="360"/>
      </w:pPr>
      <w:rPr>
        <w:rFonts w:hint="default"/>
        <w:lang w:val="en-US" w:eastAsia="en-US" w:bidi="ar-SA"/>
      </w:rPr>
    </w:lvl>
    <w:lvl w:ilvl="3" w:tplc="83DC0BF2">
      <w:numFmt w:val="bullet"/>
      <w:lvlText w:val="•"/>
      <w:lvlJc w:val="left"/>
      <w:pPr>
        <w:ind w:left="3424" w:hanging="360"/>
      </w:pPr>
      <w:rPr>
        <w:rFonts w:hint="default"/>
        <w:lang w:val="en-US" w:eastAsia="en-US" w:bidi="ar-SA"/>
      </w:rPr>
    </w:lvl>
    <w:lvl w:ilvl="4" w:tplc="A6D6E24A">
      <w:numFmt w:val="bullet"/>
      <w:lvlText w:val="•"/>
      <w:lvlJc w:val="left"/>
      <w:pPr>
        <w:ind w:left="4292" w:hanging="360"/>
      </w:pPr>
      <w:rPr>
        <w:rFonts w:hint="default"/>
        <w:lang w:val="en-US" w:eastAsia="en-US" w:bidi="ar-SA"/>
      </w:rPr>
    </w:lvl>
    <w:lvl w:ilvl="5" w:tplc="DE506458">
      <w:numFmt w:val="bullet"/>
      <w:lvlText w:val="•"/>
      <w:lvlJc w:val="left"/>
      <w:pPr>
        <w:ind w:left="5160" w:hanging="360"/>
      </w:pPr>
      <w:rPr>
        <w:rFonts w:hint="default"/>
        <w:lang w:val="en-US" w:eastAsia="en-US" w:bidi="ar-SA"/>
      </w:rPr>
    </w:lvl>
    <w:lvl w:ilvl="6" w:tplc="0720C80A">
      <w:numFmt w:val="bullet"/>
      <w:lvlText w:val="•"/>
      <w:lvlJc w:val="left"/>
      <w:pPr>
        <w:ind w:left="6028" w:hanging="360"/>
      </w:pPr>
      <w:rPr>
        <w:rFonts w:hint="default"/>
        <w:lang w:val="en-US" w:eastAsia="en-US" w:bidi="ar-SA"/>
      </w:rPr>
    </w:lvl>
    <w:lvl w:ilvl="7" w:tplc="9A16CA4C">
      <w:numFmt w:val="bullet"/>
      <w:lvlText w:val="•"/>
      <w:lvlJc w:val="left"/>
      <w:pPr>
        <w:ind w:left="6896" w:hanging="360"/>
      </w:pPr>
      <w:rPr>
        <w:rFonts w:hint="default"/>
        <w:lang w:val="en-US" w:eastAsia="en-US" w:bidi="ar-SA"/>
      </w:rPr>
    </w:lvl>
    <w:lvl w:ilvl="8" w:tplc="50DA1312">
      <w:numFmt w:val="bullet"/>
      <w:lvlText w:val="•"/>
      <w:lvlJc w:val="left"/>
      <w:pPr>
        <w:ind w:left="7764" w:hanging="360"/>
      </w:pPr>
      <w:rPr>
        <w:rFonts w:hint="default"/>
        <w:lang w:val="en-US" w:eastAsia="en-US" w:bidi="ar-SA"/>
      </w:rPr>
    </w:lvl>
  </w:abstractNum>
  <w:num w:numId="1" w16cid:durableId="1702513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E3C78"/>
    <w:rsid w:val="00BE3C78"/>
    <w:rsid w:val="00CC0A4E"/>
    <w:rsid w:val="00DF6B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D9343"/>
  <w15:docId w15:val="{F12329D5-1710-479D-8CEB-F42E3EB5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0"/>
    </w:pPr>
    <w:rPr>
      <w:u w:val="single" w:color="000000"/>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laws-lois.justice.gc.ca/eng/regulations/SOR-88-456/" TargetMode="External"/><Relationship Id="rId3" Type="http://schemas.openxmlformats.org/officeDocument/2006/relationships/settings" Target="settings.xml"/><Relationship Id="rId7" Type="http://schemas.openxmlformats.org/officeDocument/2006/relationships/hyperlink" Target="http://laws-lois.justice.gc.ca/eng/acts/H-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ws-lois.justice.gc.ca/PDF/SOR-2015-17.pdf" TargetMode="External"/><Relationship Id="rId11" Type="http://schemas.openxmlformats.org/officeDocument/2006/relationships/theme" Target="theme/theme1.xml"/><Relationship Id="rId5" Type="http://schemas.openxmlformats.org/officeDocument/2006/relationships/hyperlink" Target="http://laws-lois.justice.gc.ca/PDF/H-3.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aws-lois.justice.gc.ca/eng/acts/T-1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Gabrielle Heard | Anderson College | Head Office</cp:lastModifiedBy>
  <cp:revision>2</cp:revision>
  <dcterms:created xsi:type="dcterms:W3CDTF">2025-02-15T18:36:00Z</dcterms:created>
  <dcterms:modified xsi:type="dcterms:W3CDTF">2025-02-15T18:40:00Z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3-Heights(TM) PDF Security Shell 4.8.25.2 (http://www.pdf-tools.com)</vt:lpwstr>
  </property>
</Properties>
</file>