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MRAD 202 – Patient Care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/>
          <w:b/>
          <w:sz w:val="28"/>
          <w:szCs w:val="28"/>
        </w:rPr>
      </w:pPr>
      <w:r>
        <w:rPr>
          <w:rFonts w:ascii="Futura PT Demi" w:hAnsi="Futura PT Demi"/>
          <w:b/>
          <w:sz w:val="28"/>
          <w:szCs w:val="28"/>
        </w:rPr>
        <w:t xml:space="preserve">Scheduling and Sequence of Diagnostic Imaging Exams</w:t>
      </w:r>
      <w:r>
        <w:rPr>
          <w:rFonts w:ascii="Futura PT Demi" w:hAnsi="Futura PT Demi"/>
          <w:b/>
          <w:sz w:val="28"/>
          <w:szCs w:val="28"/>
        </w:rPr>
      </w:r>
    </w:p>
    <w:p>
      <w:pPr>
        <w:pBdr/>
        <w:spacing/>
        <w:ind/>
        <w:jc w:val="center"/>
        <w:rPr>
          <w:b/>
          <w:sz w:val="20"/>
        </w:rPr>
      </w:pPr>
      <w:r>
        <w:rPr>
          <w:b/>
          <w:sz w:val="20"/>
        </w:rPr>
      </w:r>
      <w:r>
        <w:rPr>
          <w:b/>
          <w:sz w:val="20"/>
        </w:rPr>
      </w:r>
    </w:p>
    <w:p>
      <w:pPr>
        <w:pStyle w:val="804"/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Scheduling the SAME patient for multiple diagnostic exams in one day:</w:t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Benefits include: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01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Decreasing the length of time the patient stays in the hospital</w:t>
      </w:r>
      <w:r>
        <w:rPr>
          <w:rFonts w:ascii="Futura PT Book" w:hAnsi="Futura PT Book"/>
          <w:b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waiting for tests to be performed equals a reduction in cost to the system and allows the hospital bed to be used by someone else.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6"/>
        </w:numPr>
        <w:pBdr/>
        <w:spacing w:after="200" w:line="276" w:lineRule="auto"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Patient exam preparation is often similar for most Diagnostic Imaging (DI) </w:t>
      </w:r>
      <w:r>
        <w:rPr>
          <w:rFonts w:ascii="Futura PT Book" w:hAnsi="Futura PT Book"/>
          <w:sz w:val="24"/>
          <w:szCs w:val="24"/>
        </w:rPr>
        <w:t xml:space="preserve">tests</w:t>
      </w:r>
      <w:r>
        <w:rPr>
          <w:rFonts w:ascii="Futura PT Book" w:hAnsi="Futura PT Book"/>
          <w:sz w:val="24"/>
          <w:szCs w:val="24"/>
        </w:rPr>
        <w:t xml:space="preserve"> so the </w:t>
      </w:r>
      <w:r>
        <w:rPr>
          <w:rFonts w:ascii="Futura PT Book" w:hAnsi="Futura PT Book"/>
          <w:b/>
          <w:sz w:val="24"/>
          <w:szCs w:val="24"/>
        </w:rPr>
        <w:t xml:space="preserve">patient only has to be prepped once</w:t>
      </w:r>
      <w:r>
        <w:rPr>
          <w:rFonts w:ascii="Futura PT Book" w:hAnsi="Futura PT Book"/>
          <w:sz w:val="24"/>
          <w:szCs w:val="24"/>
        </w:rPr>
        <w:t xml:space="preserve"> compared to multiple times over several days. This is especially important for geriatric and pediatric patients. </w:t>
      </w:r>
      <w:r>
        <w:rPr>
          <w:rFonts w:ascii="Futura PT Book" w:hAnsi="Futura PT Book"/>
          <w:i/>
          <w:sz w:val="24"/>
          <w:szCs w:val="24"/>
        </w:rPr>
        <w:t xml:space="preserve">Exam preps can affect the patient’s overall health and can lead to dehydration due to fasting or cleansing enemas.</w:t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Disadvantages include: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01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Increased potential of miscommunication</w:t>
      </w:r>
      <w:r>
        <w:rPr>
          <w:rFonts w:ascii="Futura PT Book" w:hAnsi="Futura PT Book"/>
          <w:sz w:val="24"/>
          <w:szCs w:val="24"/>
        </w:rPr>
        <w:t xml:space="preserve"> occurring (human error), especially from the sequence perspective. 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Can be difficult to coordinate the exam times with the porters/units</w:t>
      </w:r>
      <w:r>
        <w:rPr>
          <w:rFonts w:ascii="Futura PT Book" w:hAnsi="Futura PT Book"/>
          <w:sz w:val="24"/>
          <w:szCs w:val="24"/>
        </w:rPr>
        <w:t xml:space="preserve">. (E.g., patient is finished in CT but now is to be taken over to NM instead of being brought back to their unit/ward.)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7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Variation in nurses’/unit clerks’ knowledge and understanding</w:t>
      </w:r>
      <w:r>
        <w:rPr>
          <w:rFonts w:ascii="Futura PT Book" w:hAnsi="Futura PT Book"/>
          <w:sz w:val="24"/>
          <w:szCs w:val="24"/>
        </w:rPr>
        <w:t xml:space="preserve"> of the numerous DI exams.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Consequences if SEQUENCE of DI exams is incorrectly ordered: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01"/>
        <w:numPr>
          <w:ilvl w:val="0"/>
          <w:numId w:val="28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Residue barium from gastrointestinal exams can cause complications/misinterpretations in urinary track exams.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8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Residue barium can also cause </w:t>
      </w:r>
      <w:r>
        <w:rPr>
          <w:rFonts w:ascii="Futura PT Book" w:hAnsi="Futura PT Book"/>
          <w:b/>
          <w:sz w:val="24"/>
          <w:szCs w:val="24"/>
        </w:rPr>
        <w:t xml:space="preserve">artifacts</w:t>
      </w:r>
      <w:r>
        <w:rPr>
          <w:rFonts w:ascii="Futura PT Book" w:hAnsi="Futura PT Book"/>
          <w:i/>
          <w:sz w:val="24"/>
          <w:szCs w:val="24"/>
        </w:rPr>
        <w:t xml:space="preserve"> </w:t>
      </w:r>
      <w:r>
        <w:rPr>
          <w:rFonts w:ascii="Futura PT Book" w:hAnsi="Futura PT Book"/>
          <w:sz w:val="24"/>
          <w:szCs w:val="24"/>
        </w:rPr>
        <w:t xml:space="preserve">in U/S and CT exams. A CT exam can be very involved and if the sequence of exams is overlooked, there can be a </w:t>
      </w:r>
      <w:r>
        <w:rPr>
          <w:rFonts w:ascii="Futura PT Book" w:hAnsi="Futura PT Book"/>
          <w:b/>
          <w:sz w:val="24"/>
          <w:szCs w:val="24"/>
        </w:rPr>
        <w:t xml:space="preserve">waste in time and effort and an unnecessary dose of radiation delivered.</w:t>
      </w:r>
      <w:r>
        <w:rPr>
          <w:rFonts w:ascii="Futura PT Book" w:hAnsi="Futura PT Book"/>
          <w:sz w:val="24"/>
          <w:szCs w:val="24"/>
        </w:rPr>
        <w:t xml:space="preserve"> Because CT is a significant dose, the exam is only performed if the benefits outweigh the risks.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8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Incorrect diagnosis of the </w:t>
      </w:r>
      <w:r>
        <w:rPr>
          <w:rFonts w:ascii="Futura PT Book" w:hAnsi="Futura PT Book"/>
          <w:sz w:val="24"/>
          <w:szCs w:val="24"/>
        </w:rPr>
        <w:t xml:space="preserve">scan itself, especially with certain types of NM exam. (E.g., if a patient receives on iodinated contrast agent PRIOR to a thyroid NM exam, then the patient MUST wait another 3 weeks to have the NM exam repeated because the iodine will skewer the results.)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8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Each institution has a procedure manual and standing orders to assist staff ordering the DI exams; however, inexperienced staff that doesn’t understand the significance of</w:t>
      </w:r>
      <w:r>
        <w:rPr>
          <w:rFonts w:ascii="Futura PT Book" w:hAnsi="Futura PT Book"/>
          <w:sz w:val="24"/>
          <w:szCs w:val="24"/>
        </w:rPr>
        <w:t xml:space="preserve"> the exam prep may not follow prep orders correctly. This lack of compliance can result in a “suboptimal” exam and even a misdiagnosis. (E.g., a patient who is unable to drink the oral contrast for a CT scan of the abdomen may require an NG tube insertion </w:t>
      </w:r>
      <w:r>
        <w:rPr>
          <w:rFonts w:ascii="Futura PT Book" w:hAnsi="Futura PT Book"/>
          <w:sz w:val="24"/>
          <w:szCs w:val="24"/>
        </w:rPr>
        <w:t xml:space="preserve">in order to</w:t>
      </w:r>
      <w:r>
        <w:rPr>
          <w:rFonts w:ascii="Futura PT Book" w:hAnsi="Futura PT Book"/>
          <w:sz w:val="24"/>
          <w:szCs w:val="24"/>
        </w:rPr>
        <w:t xml:space="preserve"> visualize the bowels properly. This takes coordination with the patient’s physician and the nursing staff.) 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pBdr/>
        <w:spacing/>
        <w:ind/>
        <w:rPr>
          <w:rFonts w:ascii="Futura PT Book" w:hAnsi="Futura PT Book"/>
          <w:i/>
          <w:sz w:val="24"/>
          <w:szCs w:val="24"/>
        </w:rPr>
      </w:pPr>
      <w:r>
        <w:rPr>
          <w:rFonts w:ascii="Futura PT Book" w:hAnsi="Futura PT Book"/>
          <w:i/>
          <w:sz w:val="24"/>
          <w:szCs w:val="24"/>
        </w:rPr>
      </w:r>
      <w:r>
        <w:rPr>
          <w:rFonts w:ascii="Futura PT Book" w:hAnsi="Futura PT Book"/>
          <w:i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Reference for Scheduling Sequence of Exams:</w:t>
      </w:r>
      <w:r>
        <w:rPr>
          <w:rFonts w:ascii="Futura PT Book" w:hAnsi="Futura PT Book"/>
          <w:b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All radiographic examinations NOT requiring contrast media should be scheduled </w:t>
      </w:r>
      <w:r>
        <w:rPr>
          <w:rFonts w:ascii="Futura PT Book" w:hAnsi="Futura PT Book"/>
          <w:sz w:val="24"/>
          <w:szCs w:val="24"/>
        </w:rPr>
        <w:t xml:space="preserve">first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Ultrasound examinations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Nuclear scans of the liver or spleen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Thyroid scans before iodinated contrast </w:t>
      </w:r>
      <w:r>
        <w:rPr>
          <w:rFonts w:ascii="Futura PT Book" w:hAnsi="Futura PT Book"/>
          <w:sz w:val="24"/>
          <w:szCs w:val="24"/>
        </w:rPr>
        <w:t xml:space="preserve">exams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Iodinated contrast exams before barium exams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Lower GI series (barium enema)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Upper GI series (UGI or OS&amp;D)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29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Studies requiring the patient to be NPO should be scheduled early in the morning.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Note:</w:t>
      </w:r>
      <w:r>
        <w:rPr>
          <w:rFonts w:ascii="Futura PT Book" w:hAnsi="Futura PT Book"/>
          <w:sz w:val="24"/>
          <w:szCs w:val="24"/>
        </w:rPr>
        <w:t xml:space="preserve"> See Ehrlich, R. A., &amp; </w:t>
      </w:r>
      <w:r>
        <w:rPr>
          <w:rFonts w:ascii="Futura PT Book" w:hAnsi="Futura PT Book"/>
          <w:sz w:val="24"/>
          <w:szCs w:val="24"/>
        </w:rPr>
        <w:t xml:space="preserve">Coakes</w:t>
      </w:r>
      <w:r>
        <w:rPr>
          <w:rFonts w:ascii="Futura PT Book" w:hAnsi="Futura PT Book"/>
          <w:sz w:val="24"/>
          <w:szCs w:val="24"/>
        </w:rPr>
        <w:t xml:space="preserve">, D. M. (2016). </w:t>
      </w:r>
      <w:r>
        <w:rPr>
          <w:rFonts w:ascii="Futura PT Book" w:hAnsi="Futura PT Book"/>
          <w:i/>
          <w:sz w:val="24"/>
          <w:szCs w:val="24"/>
        </w:rPr>
        <w:t xml:space="preserve">Patient care in radiography: With an introduction to medical imaging</w:t>
      </w:r>
      <w:r>
        <w:rPr>
          <w:rFonts w:ascii="Futura PT Book" w:hAnsi="Futura PT Book"/>
          <w:sz w:val="24"/>
          <w:szCs w:val="24"/>
        </w:rPr>
        <w:t xml:space="preserve"> (9th ed., p. 305). St. Louis, MO: Mosby Elsevier.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  <w:t xml:space="preserve">Which Patient Gets Scanned First?</w:t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Numerous patients are booked for the same exam at the same time. (E.g., there are four OS&amp;Ds at 8:00 a.m. on the </w:t>
      </w:r>
      <w:r>
        <w:rPr>
          <w:rFonts w:ascii="Futura PT Book" w:hAnsi="Futura PT Book"/>
          <w:sz w:val="24"/>
          <w:szCs w:val="24"/>
        </w:rPr>
        <w:t xml:space="preserve">fluoro</w:t>
      </w:r>
      <w:r>
        <w:rPr>
          <w:rFonts w:ascii="Futura PT Book" w:hAnsi="Futura PT Book"/>
          <w:sz w:val="24"/>
          <w:szCs w:val="24"/>
        </w:rPr>
        <w:t xml:space="preserve"> day sheet.) 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Factors to consider when deciding who goes first: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Those who have been fasting. (Especially diabetic patients.)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ER </w:t>
      </w:r>
      <w:r>
        <w:rPr>
          <w:rFonts w:ascii="Futura PT Book" w:hAnsi="Futura PT Book"/>
          <w:sz w:val="24"/>
          <w:szCs w:val="24"/>
        </w:rPr>
        <w:t xml:space="preserve">patients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0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Pediatric and geriatric patients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As a technologist, when organizing your room here are some other things to consider: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Mobility of patient. (I.e., are they ambulatory or a three-person transfer?)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Ability to follow instructions. (E.g., English as a second language, or patient may have impaired hearing.)</w:t>
      </w:r>
      <w:r>
        <w:rPr>
          <w:rFonts w:ascii="Futura PT Book" w:hAnsi="Futura PT Book"/>
          <w:sz w:val="24"/>
          <w:szCs w:val="24"/>
        </w:rPr>
      </w:r>
    </w:p>
    <w:p>
      <w:pPr>
        <w:pStyle w:val="801"/>
        <w:numPr>
          <w:ilvl w:val="0"/>
          <w:numId w:val="31"/>
        </w:numPr>
        <w:pBdr/>
        <w:spacing w:after="200" w:line="276" w:lineRule="auto"/>
        <w:ind/>
        <w:rPr>
          <w:rFonts w:ascii="Futura PT Book" w:hAnsi="Futura PT Book"/>
          <w:sz w:val="24"/>
          <w:szCs w:val="24"/>
        </w:rPr>
      </w:pPr>
      <w:r>
        <w:rPr>
          <w:rFonts w:ascii="Futura PT Book" w:hAnsi="Futura PT Book"/>
          <w:sz w:val="24"/>
          <w:szCs w:val="24"/>
        </w:rPr>
        <w:t xml:space="preserve">Is the patient accompanied by another health care professional? (E.g., a nurse from the ward.) </w:t>
      </w:r>
      <w:r>
        <w:rPr>
          <w:rFonts w:ascii="Futura PT Book" w:hAnsi="Futura PT Book"/>
          <w:sz w:val="24"/>
          <w:szCs w:val="24"/>
        </w:rPr>
        <w:t xml:space="preserve">With the exception of</w:t>
      </w:r>
      <w:r>
        <w:rPr>
          <w:rFonts w:ascii="Futura PT Book" w:hAnsi="Futura PT Book"/>
          <w:sz w:val="24"/>
          <w:szCs w:val="24"/>
        </w:rPr>
        <w:t xml:space="preserve"> ICU, nurses in general have 4–6 patients to care for, so must have other nurses cover their patients while in the DI department. Please be considerate of this.</w:t>
      </w:r>
      <w:r>
        <w:rPr>
          <w:rFonts w:ascii="Futura PT Book" w:hAnsi="Futura PT Book"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b/>
          <w:sz w:val="24"/>
          <w:szCs w:val="24"/>
        </w:rPr>
      </w:pPr>
      <w:r>
        <w:rPr>
          <w:rFonts w:ascii="Futura PT Book" w:hAnsi="Futura PT Book"/>
          <w:b/>
          <w:sz w:val="24"/>
          <w:szCs w:val="24"/>
        </w:rPr>
      </w:r>
      <w:r>
        <w:rPr>
          <w:rFonts w:ascii="Futura PT Book" w:hAnsi="Futura PT Book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/>
          <w:sz w:val="24"/>
          <w:szCs w:val="24"/>
          <w:lang w:eastAsia="en-CA"/>
        </w:rPr>
      </w:pPr>
      <w:r>
        <w:rPr>
          <w:rFonts w:ascii="Futura PT Book" w:hAnsi="Futura PT Book"/>
          <w:sz w:val="24"/>
          <w:szCs w:val="24"/>
          <w:lang w:eastAsia="en-CA"/>
        </w:rPr>
      </w:r>
      <w:r>
        <w:rPr>
          <w:rFonts w:ascii="Futura PT Book" w:hAnsi="Futura PT Book"/>
          <w:sz w:val="24"/>
          <w:szCs w:val="24"/>
          <w:lang w:eastAsia="en-CA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</w:r>
      <w:r>
        <w:rPr>
          <w:rFonts w:ascii="Futura PT Book" w:hAnsi="Futura PT Book" w:cs="Arial"/>
          <w:b/>
          <w:sz w:val="24"/>
          <w:szCs w:val="24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Futura PT Demi">
    <w:panose1 w:val="020B0603030804020204"/>
  </w:font>
  <w:font w:name="Courier New">
    <w:panose1 w:val="02070309020205020404"/>
  </w:font>
  <w:font w:name="Wingdings">
    <w:panose1 w:val="05010000000000000000"/>
  </w:font>
  <w:font w:name="Symbol">
    <w:panose1 w:val="05010000000000000000"/>
  </w:font>
  <w:font w:name="Aharoni">
    <w:panose1 w:val="02020603020101020101"/>
  </w:font>
  <w:font w:name="Century Gothic">
    <w:panose1 w:val="020B0603020202020204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86"/>
      <w:pBdr/>
      <w:spacing/>
      <w:ind/>
      <w:rPr/>
    </w:pPr>
    <w:r>
      <w:rPr>
        <w:rFonts w:ascii="Arial" w:hAnsi="Arial" w:cs="Arial"/>
        <w:b/>
        <w:sz w:val="16"/>
        <w:szCs w:val="16"/>
        <w:lang w:eastAsia="en-CA"/>
      </w:rPr>
    </w:r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828166979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>
      <w:rPr>
        <w:rFonts w:ascii="Arial" w:hAnsi="Arial" w:cs="Arial"/>
        <w:b/>
        <w:sz w:val="16"/>
        <w:szCs w:val="16"/>
        <w:lang w:eastAsia="en-CA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1" locked="0" layoutInCell="1" allowOverlap="1">
              <wp:simplePos x="0" y="0"/>
              <wp:positionH relativeFrom="page">
                <wp:posOffset>7620</wp:posOffset>
              </wp:positionH>
              <wp:positionV relativeFrom="page">
                <wp:posOffset>6985</wp:posOffset>
              </wp:positionV>
              <wp:extent cx="188595" cy="10264775"/>
              <wp:effectExtent l="0" t="0" r="1905" b="3175"/>
              <wp:wrapNone/>
              <wp:docPr id="2" name="Picture 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338614718" name="Picture 3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88594" cy="10264774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-251659264;o:allowoverlap:true;o:allowincell:true;mso-position-horizontal-relative:page;margin-left:0.60pt;mso-position-horizontal:absolute;mso-position-vertical-relative:page;margin-top:0.55pt;mso-position-vertical:absolute;width:14.85pt;height:808.25pt;mso-wrap-distance-left:9.00pt;mso-wrap-distance-top:0.00pt;mso-wrap-distance-right:9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23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Courier New" w:hAnsi="Courier New" w:eastAsia="Courier New" w:cs="Courier New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o"/>
      <w:numFmt w:val="bullet"/>
      <w:pPr>
        <w:pBdr/>
        <w:spacing/>
        <w:ind w:hanging="360" w:left="720"/>
      </w:pPr>
      <w:rPr>
        <w:rFonts w:hint="default" w:ascii="Courier New" w:hAnsi="Courier New" w:cs="Courier New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5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16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7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8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19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22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4">
    <w:lvl w:ilvl="0">
      <w:isLgl w:val="false"/>
      <w:lvlJc w:val="left"/>
      <w:lvlText w:val="➢"/>
      <w:numFmt w:val="bullet"/>
      <w:pPr>
        <w:pBdr/>
        <w:spacing/>
        <w:ind w:left="803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left="15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2">
      <w:isLgl w:val="false"/>
      <w:lvlJc w:val="left"/>
      <w:lvlText w:val="▪"/>
      <w:numFmt w:val="bullet"/>
      <w:pPr>
        <w:pBdr/>
        <w:spacing/>
        <w:ind w:left="22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3">
      <w:isLgl w:val="false"/>
      <w:lvlJc w:val="left"/>
      <w:lvlText w:val="•"/>
      <w:numFmt w:val="bullet"/>
      <w:pPr>
        <w:pBdr/>
        <w:spacing/>
        <w:ind w:left="29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left="369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5">
      <w:isLgl w:val="false"/>
      <w:lvlJc w:val="left"/>
      <w:lvlText w:val="▪"/>
      <w:numFmt w:val="bullet"/>
      <w:pPr>
        <w:pBdr/>
        <w:spacing/>
        <w:ind w:left="441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6">
      <w:isLgl w:val="false"/>
      <w:lvlJc w:val="left"/>
      <w:lvlText w:val="•"/>
      <w:numFmt w:val="bullet"/>
      <w:pPr>
        <w:pBdr/>
        <w:spacing/>
        <w:ind w:left="513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left="585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  <w:lvl w:ilvl="8">
      <w:isLgl w:val="false"/>
      <w:lvlJc w:val="left"/>
      <w:lvlText w:val="▪"/>
      <w:numFmt w:val="bullet"/>
      <w:pPr>
        <w:pBdr/>
        <w:spacing/>
        <w:ind w:left="6578"/>
      </w:pPr>
      <w:rPr>
        <w:rFonts w:ascii="Wingdings" w:hAnsi="Wingdings" w:eastAsia="Wingdings" w:cs="Wingdings"/>
        <w:b w:val="0"/>
        <w:i w:val="0"/>
        <w:strike w:val="0"/>
        <w:color w:val="000000"/>
        <w:sz w:val="28"/>
        <w:szCs w:val="28"/>
        <w:u w:val="none"/>
        <w:shd w:val="clear" w:color="auto" w:fill="auto"/>
        <w:vertAlign w:val="baseline"/>
      </w:rPr>
      <w:start w:val="1"/>
      <w:suff w:val="tab"/>
    </w:lvl>
  </w:abstractNum>
  <w:abstractNum w:abstractNumId="25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6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7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28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15"/>
  </w:num>
  <w:num w:numId="2">
    <w:abstractNumId w:val="8"/>
  </w:num>
  <w:num w:numId="3">
    <w:abstractNumId w:val="29"/>
  </w:num>
  <w:num w:numId="4">
    <w:abstractNumId w:val="3"/>
  </w:num>
  <w:num w:numId="5">
    <w:abstractNumId w:val="5"/>
  </w:num>
  <w:num w:numId="6">
    <w:abstractNumId w:val="17"/>
  </w:num>
  <w:num w:numId="7">
    <w:abstractNumId w:val="30"/>
  </w:num>
  <w:num w:numId="8">
    <w:abstractNumId w:val="28"/>
  </w:num>
  <w:num w:numId="9">
    <w:abstractNumId w:val="16"/>
  </w:num>
  <w:num w:numId="10">
    <w:abstractNumId w:val="0"/>
  </w:num>
  <w:num w:numId="11">
    <w:abstractNumId w:val="2"/>
  </w:num>
  <w:num w:numId="12">
    <w:abstractNumId w:val="7"/>
  </w:num>
  <w:num w:numId="13">
    <w:abstractNumId w:val="21"/>
  </w:num>
  <w:num w:numId="14">
    <w:abstractNumId w:val="20"/>
  </w:num>
  <w:num w:numId="15">
    <w:abstractNumId w:val="10"/>
  </w:num>
  <w:num w:numId="16">
    <w:abstractNumId w:val="4"/>
  </w:num>
  <w:num w:numId="17">
    <w:abstractNumId w:val="12"/>
  </w:num>
  <w:num w:numId="18">
    <w:abstractNumId w:val="18"/>
  </w:num>
  <w:num w:numId="19">
    <w:abstractNumId w:val="22"/>
  </w:num>
  <w:num w:numId="20">
    <w:abstractNumId w:val="19"/>
  </w:num>
  <w:num w:numId="21">
    <w:abstractNumId w:val="24"/>
  </w:num>
  <w:num w:numId="22">
    <w:abstractNumId w:val="11"/>
  </w:num>
  <w:num w:numId="23">
    <w:abstractNumId w:val="14"/>
  </w:num>
  <w:num w:numId="24">
    <w:abstractNumId w:val="6"/>
  </w:num>
  <w:num w:numId="25">
    <w:abstractNumId w:val="27"/>
  </w:num>
  <w:num w:numId="26">
    <w:abstractNumId w:val="26"/>
  </w:num>
  <w:num w:numId="27">
    <w:abstractNumId w:val="13"/>
  </w:num>
  <w:num w:numId="28">
    <w:abstractNumId w:val="1"/>
  </w:num>
  <w:num w:numId="29">
    <w:abstractNumId w:val="9"/>
  </w:num>
  <w:num w:numId="30">
    <w:abstractNumId w:val="23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84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4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84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84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79"/>
    <w:next w:val="779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79"/>
    <w:next w:val="779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79"/>
    <w:next w:val="779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79"/>
    <w:next w:val="779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79"/>
    <w:next w:val="779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79"/>
    <w:next w:val="779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83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83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83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83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83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83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79"/>
    <w:next w:val="779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83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2">
    <w:name w:val="Quote"/>
    <w:basedOn w:val="779"/>
    <w:next w:val="779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83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83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79"/>
    <w:next w:val="779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83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83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83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83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83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83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83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79"/>
    <w:next w:val="77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79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83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79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83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83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83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83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79"/>
    <w:next w:val="779"/>
    <w:uiPriority w:val="39"/>
    <w:unhideWhenUsed/>
    <w:pPr>
      <w:pBdr/>
      <w:spacing w:after="100"/>
      <w:ind/>
    </w:pPr>
  </w:style>
  <w:style w:type="paragraph" w:styleId="189">
    <w:name w:val="toc 2"/>
    <w:basedOn w:val="779"/>
    <w:next w:val="779"/>
    <w:uiPriority w:val="39"/>
    <w:unhideWhenUsed/>
    <w:pPr>
      <w:pBdr/>
      <w:spacing w:after="100"/>
      <w:ind w:left="220"/>
    </w:pPr>
  </w:style>
  <w:style w:type="paragraph" w:styleId="190">
    <w:name w:val="toc 3"/>
    <w:basedOn w:val="779"/>
    <w:next w:val="779"/>
    <w:uiPriority w:val="39"/>
    <w:unhideWhenUsed/>
    <w:pPr>
      <w:pBdr/>
      <w:spacing w:after="100"/>
      <w:ind w:left="440"/>
    </w:pPr>
  </w:style>
  <w:style w:type="paragraph" w:styleId="191">
    <w:name w:val="toc 4"/>
    <w:basedOn w:val="779"/>
    <w:next w:val="779"/>
    <w:uiPriority w:val="39"/>
    <w:unhideWhenUsed/>
    <w:pPr>
      <w:pBdr/>
      <w:spacing w:after="100"/>
      <w:ind w:left="660"/>
    </w:pPr>
  </w:style>
  <w:style w:type="paragraph" w:styleId="192">
    <w:name w:val="toc 5"/>
    <w:basedOn w:val="779"/>
    <w:next w:val="779"/>
    <w:uiPriority w:val="39"/>
    <w:unhideWhenUsed/>
    <w:pPr>
      <w:pBdr/>
      <w:spacing w:after="100"/>
      <w:ind w:left="880"/>
    </w:pPr>
  </w:style>
  <w:style w:type="paragraph" w:styleId="193">
    <w:name w:val="toc 6"/>
    <w:basedOn w:val="779"/>
    <w:next w:val="779"/>
    <w:uiPriority w:val="39"/>
    <w:unhideWhenUsed/>
    <w:pPr>
      <w:pBdr/>
      <w:spacing w:after="100"/>
      <w:ind w:left="1100"/>
    </w:pPr>
  </w:style>
  <w:style w:type="paragraph" w:styleId="194">
    <w:name w:val="toc 7"/>
    <w:basedOn w:val="779"/>
    <w:next w:val="779"/>
    <w:uiPriority w:val="39"/>
    <w:unhideWhenUsed/>
    <w:pPr>
      <w:pBdr/>
      <w:spacing w:after="100"/>
      <w:ind w:left="1320"/>
    </w:pPr>
  </w:style>
  <w:style w:type="paragraph" w:styleId="195">
    <w:name w:val="toc 8"/>
    <w:basedOn w:val="779"/>
    <w:next w:val="779"/>
    <w:uiPriority w:val="39"/>
    <w:unhideWhenUsed/>
    <w:pPr>
      <w:pBdr/>
      <w:spacing w:after="100"/>
      <w:ind w:left="1540"/>
    </w:pPr>
  </w:style>
  <w:style w:type="paragraph" w:styleId="196">
    <w:name w:val="toc 9"/>
    <w:basedOn w:val="779"/>
    <w:next w:val="779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79"/>
    <w:next w:val="779"/>
    <w:uiPriority w:val="99"/>
    <w:unhideWhenUsed/>
    <w:pPr>
      <w:pBdr/>
      <w:spacing w:after="0" w:afterAutospacing="0"/>
      <w:ind/>
    </w:pPr>
  </w:style>
  <w:style w:type="paragraph" w:styleId="779" w:default="1">
    <w:name w:val="Normal"/>
    <w:qFormat/>
    <w:pPr>
      <w:pBdr/>
      <w:spacing/>
      <w:ind/>
    </w:pPr>
  </w:style>
  <w:style w:type="paragraph" w:styleId="780">
    <w:name w:val="Heading 1"/>
    <w:basedOn w:val="779"/>
    <w:link w:val="793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81">
    <w:name w:val="Heading 2"/>
    <w:basedOn w:val="779"/>
    <w:next w:val="779"/>
    <w:link w:val="794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82">
    <w:name w:val="Heading 3"/>
    <w:basedOn w:val="779"/>
    <w:next w:val="779"/>
    <w:link w:val="802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83" w:default="1">
    <w:name w:val="Default Paragraph Font"/>
    <w:uiPriority w:val="1"/>
    <w:semiHidden/>
    <w:unhideWhenUsed/>
    <w:pPr>
      <w:pBdr/>
      <w:spacing/>
      <w:ind/>
    </w:pPr>
  </w:style>
  <w:style w:type="table" w:styleId="784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5" w:default="1">
    <w:name w:val="No List"/>
    <w:uiPriority w:val="99"/>
    <w:semiHidden/>
    <w:unhideWhenUsed/>
    <w:pPr>
      <w:pBdr/>
      <w:spacing/>
      <w:ind/>
    </w:pPr>
  </w:style>
  <w:style w:type="paragraph" w:styleId="786">
    <w:name w:val="Header"/>
    <w:basedOn w:val="779"/>
    <w:link w:val="78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7" w:customStyle="1">
    <w:name w:val="Header Char"/>
    <w:basedOn w:val="783"/>
    <w:link w:val="786"/>
    <w:uiPriority w:val="99"/>
    <w:pPr>
      <w:pBdr/>
      <w:spacing/>
      <w:ind/>
    </w:pPr>
  </w:style>
  <w:style w:type="paragraph" w:styleId="788">
    <w:name w:val="Footer"/>
    <w:basedOn w:val="779"/>
    <w:link w:val="789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89" w:customStyle="1">
    <w:name w:val="Footer Char"/>
    <w:basedOn w:val="783"/>
    <w:link w:val="788"/>
    <w:uiPriority w:val="99"/>
    <w:pPr>
      <w:pBdr/>
      <w:spacing/>
      <w:ind/>
    </w:pPr>
  </w:style>
  <w:style w:type="table" w:styleId="790" w:customStyle="1">
    <w:name w:val="Proposal Table"/>
    <w:basedOn w:val="784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91">
    <w:name w:val="Placeholder Text"/>
    <w:basedOn w:val="783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92">
    <w:name w:val="Normal (Web)"/>
    <w:basedOn w:val="779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93" w:customStyle="1">
    <w:name w:val="Heading 1 Char"/>
    <w:basedOn w:val="783"/>
    <w:link w:val="780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94" w:customStyle="1">
    <w:name w:val="Heading 2 Char"/>
    <w:basedOn w:val="783"/>
    <w:link w:val="781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95">
    <w:name w:val="Table Grid"/>
    <w:basedOn w:val="784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6">
    <w:name w:val="Body Text"/>
    <w:basedOn w:val="779"/>
    <w:link w:val="797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97" w:customStyle="1">
    <w:name w:val="Body Text Char"/>
    <w:basedOn w:val="783"/>
    <w:link w:val="796"/>
    <w:pPr>
      <w:pBdr/>
      <w:spacing/>
      <w:ind/>
    </w:pPr>
    <w:rPr>
      <w:rFonts w:ascii="Cambria" w:hAnsi="Cambria" w:eastAsia="Cambria"/>
      <w:lang w:val="en-US"/>
    </w:rPr>
  </w:style>
  <w:style w:type="paragraph" w:styleId="798" w:customStyle="1">
    <w:name w:val="Table Paragraph"/>
    <w:basedOn w:val="779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99">
    <w:name w:val="No Spacing"/>
    <w:link w:val="800"/>
    <w:uiPriority w:val="1"/>
    <w:qFormat/>
    <w:pPr>
      <w:pBdr/>
      <w:spacing w:after="0" w:line="240" w:lineRule="auto"/>
      <w:ind/>
    </w:pPr>
    <w:rPr>
      <w:lang w:val="en-US"/>
    </w:rPr>
  </w:style>
  <w:style w:type="character" w:styleId="800" w:customStyle="1">
    <w:name w:val="No Spacing Char"/>
    <w:link w:val="799"/>
    <w:uiPriority w:val="1"/>
    <w:pPr>
      <w:pBdr/>
      <w:spacing/>
      <w:ind/>
    </w:pPr>
    <w:rPr>
      <w:lang w:val="en-US"/>
    </w:rPr>
  </w:style>
  <w:style w:type="paragraph" w:styleId="801">
    <w:name w:val="List Paragraph"/>
    <w:basedOn w:val="779"/>
    <w:uiPriority w:val="34"/>
    <w:qFormat/>
    <w:pPr>
      <w:pBdr/>
      <w:spacing/>
      <w:ind w:left="720"/>
      <w:contextualSpacing w:val="true"/>
    </w:pPr>
  </w:style>
  <w:style w:type="character" w:styleId="802" w:customStyle="1">
    <w:name w:val="Heading 3 Char"/>
    <w:basedOn w:val="783"/>
    <w:link w:val="782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803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  <w:style w:type="paragraph" w:styleId="804">
    <w:name w:val="Subtitle"/>
    <w:basedOn w:val="779"/>
    <w:next w:val="779"/>
    <w:link w:val="805"/>
    <w:uiPriority w:val="11"/>
    <w:qFormat/>
    <w:pPr>
      <w:pBdr/>
      <w:spacing w:after="200" w:line="276" w:lineRule="auto"/>
      <w:ind/>
    </w:pPr>
    <w:rPr>
      <w:rFonts w:ascii="Century Gothic" w:hAnsi="Century Gothic" w:cs="Aharoni"/>
      <w:sz w:val="28"/>
      <w:szCs w:val="28"/>
      <w:lang w:val="en-US"/>
    </w:rPr>
  </w:style>
  <w:style w:type="character" w:styleId="805" w:customStyle="1">
    <w:name w:val="Subtitle Char"/>
    <w:basedOn w:val="783"/>
    <w:link w:val="804"/>
    <w:uiPriority w:val="11"/>
    <w:pPr>
      <w:pBdr/>
      <w:spacing/>
      <w:ind/>
    </w:pPr>
    <w:rPr>
      <w:rFonts w:ascii="Century Gothic" w:hAnsi="Century Gothic" w:cs="Aharoni"/>
      <w:sz w:val="28"/>
      <w:szCs w:val="28"/>
      <w:lang w:val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0C123DA-E9DF-47D9-8143-790152E7B71C}"/>
</file>

<file path=customXml/itemProps2.xml><?xml version="1.0" encoding="utf-8"?>
<ds:datastoreItem xmlns:ds="http://schemas.openxmlformats.org/officeDocument/2006/customXml" ds:itemID="{582DEE52-7643-405B-8F30-5DAB84B4A84E}"/>
</file>

<file path=customXml/itemProps3.xml><?xml version="1.0" encoding="utf-8"?>
<ds:datastoreItem xmlns:ds="http://schemas.openxmlformats.org/officeDocument/2006/customXml" ds:itemID="{8CC90393-68ED-427F-A395-1223CDCE3FD1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2025-07-02T18:09:45Z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