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before="240"/>
        <w:ind/>
        <w:jc w:val="center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  <w:t xml:space="preserve">MRAD 202 - </w:t>
      </w:r>
      <w:r>
        <w:rPr>
          <w:b/>
          <w:sz w:val="24"/>
          <w:szCs w:val="24"/>
          <w:lang w:val="en-CA"/>
        </w:rPr>
        <w:t xml:space="preserve">Worksheet</w:t>
      </w:r>
      <w:r>
        <w:rPr>
          <w:b/>
          <w:sz w:val="24"/>
          <w:szCs w:val="24"/>
          <w:lang w:val="en-CA"/>
        </w:rPr>
        <w:t xml:space="preserve"> </w:t>
      </w:r>
      <w:r>
        <w:rPr>
          <w:b/>
          <w:sz w:val="24"/>
          <w:szCs w:val="24"/>
          <w:lang w:val="en-CA"/>
        </w:rPr>
        <w:t xml:space="preserve">Chart</w:t>
      </w:r>
      <w:r>
        <w:rPr>
          <w:b/>
          <w:sz w:val="24"/>
          <w:szCs w:val="24"/>
          <w:lang w:val="en-CA"/>
        </w:rPr>
        <w:t xml:space="preserve">: </w:t>
      </w:r>
      <w:r>
        <w:rPr>
          <w:b/>
          <w:sz w:val="24"/>
          <w:szCs w:val="24"/>
          <w:lang w:val="en-CA"/>
        </w:rPr>
        <w:t xml:space="preserve">Medication Administration</w:t>
      </w:r>
      <w:r>
        <w:rPr>
          <w:b/>
          <w:sz w:val="24"/>
          <w:szCs w:val="24"/>
          <w:lang w:val="en-CA"/>
        </w:rPr>
        <w:t xml:space="preserve"> – ANSWER KEY</w:t>
      </w:r>
      <w:r>
        <w:rPr>
          <w:b/>
          <w:sz w:val="24"/>
          <w:szCs w:val="24"/>
          <w:lang w:val="en-CA"/>
        </w:rPr>
      </w:r>
    </w:p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</w:p>
    <w:p>
      <w:pPr>
        <w:pBdr/>
        <w:spacing w:line="23" w:lineRule="atLeast"/>
        <w:ind/>
        <w:rPr>
          <w:sz w:val="24"/>
          <w:lang w:val="en-CA"/>
        </w:rPr>
      </w:pPr>
      <w:r>
        <w:rPr>
          <w:b/>
          <w:sz w:val="24"/>
          <w:lang w:val="en-CA"/>
        </w:rPr>
        <w:t xml:space="preserve">Purpose:</w:t>
      </w:r>
      <w:r>
        <w:rPr>
          <w:sz w:val="24"/>
          <w:lang w:val="en-CA"/>
        </w:rPr>
        <w:t xml:space="preserve"> </w:t>
      </w:r>
      <w:r>
        <w:rPr>
          <w:sz w:val="24"/>
          <w:lang w:val="en-CA"/>
        </w:rPr>
      </w:r>
    </w:p>
    <w:p>
      <w:pPr>
        <w:pBdr/>
        <w:spacing w:line="23" w:lineRule="atLeast"/>
        <w:ind/>
        <w:rPr>
          <w:i/>
          <w:lang w:val="en-CA"/>
        </w:rPr>
      </w:pPr>
      <w:r>
        <w:rPr>
          <w:i/>
          <w:lang w:val="en-CA"/>
        </w:rPr>
        <w:t xml:space="preserve">Objective: 1.2 Differentiate the types and effects of common medications used in the diagnostic </w:t>
      </w:r>
      <w:r>
        <w:rPr>
          <w:i/>
          <w:lang w:val="en-CA"/>
        </w:rPr>
      </w:r>
    </w:p>
    <w:p>
      <w:pPr>
        <w:pBdr/>
        <w:spacing w:after="120" w:line="23" w:lineRule="atLeast"/>
        <w:ind w:left="720"/>
        <w:rPr>
          <w:i/>
          <w:lang w:val="en-CA"/>
        </w:rPr>
      </w:pPr>
      <w:r>
        <w:rPr>
          <w:i/>
          <w:lang w:val="en-CA"/>
        </w:rPr>
        <w:t xml:space="preserve">           imaging department.</w:t>
      </w:r>
      <w:r>
        <w:rPr>
          <w:i/>
          <w:lang w:val="en-CA"/>
        </w:rPr>
      </w:r>
    </w:p>
    <w:p>
      <w:pPr>
        <w:pBdr/>
        <w:spacing w:line="23" w:lineRule="atLeast"/>
        <w:ind w:left="720"/>
        <w:rPr>
          <w:i/>
          <w:lang w:val="en-CA"/>
        </w:rPr>
      </w:pPr>
      <w:r>
        <w:rPr>
          <w:i/>
          <w:lang w:val="en-CA"/>
        </w:rPr>
      </w:r>
      <w:r>
        <w:rPr>
          <w:i/>
          <w:lang w:val="en-CA"/>
        </w:rPr>
      </w:r>
    </w:p>
    <w:p>
      <w:pPr>
        <w:pBdr/>
        <w:spacing/>
        <w:ind/>
        <w:rPr>
          <w:b/>
          <w:sz w:val="24"/>
          <w:lang w:val="en-CA"/>
        </w:rPr>
      </w:pPr>
      <w:r>
        <w:rPr>
          <w:b/>
          <w:sz w:val="24"/>
          <w:lang w:val="en-CA"/>
        </w:rPr>
        <w:t xml:space="preserve">Instructions:</w:t>
      </w:r>
      <w:r>
        <w:rPr>
          <w:b/>
          <w:sz w:val="24"/>
          <w:lang w:val="en-CA"/>
        </w:rPr>
      </w:r>
    </w:p>
    <w:p>
      <w:pPr>
        <w:pStyle w:val="827"/>
        <w:numPr>
          <w:ilvl w:val="0"/>
          <w:numId w:val="7"/>
        </w:numPr>
        <w:pBdr/>
        <w:spacing w:after="120" w:line="23" w:lineRule="atLeast"/>
        <w:ind/>
        <w:rPr>
          <w:lang w:val="en-CA"/>
        </w:rPr>
      </w:pPr>
      <w:r>
        <w:rPr>
          <w:lang w:val="en-CA"/>
        </w:rPr>
        <w:t xml:space="preserve">Match the Medication Effect to the appropriate definition</w:t>
      </w:r>
      <w:r>
        <w:rPr>
          <w:lang w:val="en-CA"/>
        </w:rPr>
        <w:t xml:space="preserve">:</w:t>
      </w:r>
      <w:r>
        <w:rPr>
          <w:lang w:val="en-CA"/>
        </w:rPr>
      </w:r>
    </w:p>
    <w:p>
      <w:pPr>
        <w:pBdr/>
        <w:spacing w:after="120" w:line="23" w:lineRule="atLeast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 w:after="120" w:line="23" w:lineRule="atLeast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p>
      <w:pPr>
        <w:pBdr/>
        <w:spacing w:after="120" w:line="23" w:lineRule="atLeast"/>
        <w:ind/>
        <w:rPr>
          <w:lang w:val="en-CA"/>
        </w:rPr>
      </w:pPr>
      <w:r>
        <w:rPr>
          <w:lang w:val="en-CA"/>
        </w:rPr>
        <w:t xml:space="preserve">                                                                     </w:t>
      </w:r>
      <w:r>
        <w:rPr>
          <w:lang w:val="en-CA"/>
        </w:rPr>
      </w:r>
    </w:p>
    <w:p>
      <w:pPr>
        <w:pBdr/>
        <w:spacing w:after="120" w:line="23" w:lineRule="atLeast"/>
        <w:ind/>
        <w:rPr>
          <w:lang w:val="en-CA"/>
        </w:rPr>
      </w:pPr>
      <w:r>
        <w:rPr>
          <w:lang w:val="en-CA"/>
        </w:rPr>
        <w:t xml:space="preserve">                                              </w:t>
      </w:r>
      <w:r>
        <w:rPr>
          <w:lang w:val="en-CA"/>
        </w:rPr>
      </w:r>
    </w:p>
    <w:tbl>
      <w:tblPr>
        <w:tblStyle w:val="836"/>
        <w:tblpPr w:horzAnchor="margin" w:tblpXSpec="right" w:vertAnchor="text" w:tblpY="379" w:leftFromText="180" w:topFromText="0" w:rightFromText="180" w:bottomFromText="0"/>
        <w:tblOverlap w:val="never"/>
        <w:tblW w:w="0" w:type="auto"/>
        <w:tblBorders/>
        <w:tblCellMar>
          <w:top w:w="284" w:type="dxa"/>
        </w:tblCellMar>
        <w:tblLook w:val="04A0" w:firstRow="1" w:lastRow="0" w:firstColumn="1" w:lastColumn="0" w:noHBand="0" w:noVBand="1"/>
      </w:tblPr>
      <w:tblGrid>
        <w:gridCol w:w="6340"/>
      </w:tblGrid>
      <w:tr>
        <w:trPr>
          <w:trHeight w:val="421"/>
        </w:trPr>
        <w:tc>
          <w:tcPr>
            <w:shd w:val="clear" w:color="auto" w:fill="d9d9d9" w:themeFill="background1" w:themeFillShade="D9"/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-795655</wp:posOffset>
                      </wp:positionH>
                      <wp:positionV relativeFrom="paragraph">
                        <wp:posOffset>1299210</wp:posOffset>
                      </wp:positionV>
                      <wp:extent cx="838200" cy="1752600"/>
                      <wp:effectExtent l="19050" t="19050" r="76200" b="38100"/>
                      <wp:wrapNone/>
                      <wp:docPr id="3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838200" cy="175259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2" o:spid="_x0000_s2" o:spt="32" type="#_x0000_t32" style="position:absolute;z-index:251663360;o:allowoverlap:true;o:allowincell:true;mso-position-horizontal-relative:text;margin-left:-62.65pt;mso-position-horizontal:absolute;mso-position-vertical-relative:text;margin-top:102.30pt;mso-position-vertical:absolute;width:66.00pt;height:138.00pt;mso-wrap-distance-left:9.00pt;mso-wrap-distance-top:0.00pt;mso-wrap-distance-right:9.00pt;mso-wrap-distance-bottom:0.00pt;visibility:visible;" filled="f" strokecolor="#00B050" strokeweight="2.25pt">
                      <v:stroke dashstyle="solid"/>
                    </v:shape>
                  </w:pict>
                </mc:Fallback>
              </mc:AlternateContent>
            </w:r>
            <w:r>
              <w:rPr>
                <w:b/>
                <w:sz w:val="24"/>
                <w:lang w:val="en-CA"/>
              </w:rPr>
              <w:t xml:space="preserve">Definition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i/>
                <w:sz w:val="24"/>
                <w:lang w:val="en-CA"/>
              </w:rPr>
            </w:pPr>
            <w:r>
              <w:rPr>
                <w:b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-776605</wp:posOffset>
                      </wp:positionH>
                      <wp:positionV relativeFrom="paragraph">
                        <wp:posOffset>727710</wp:posOffset>
                      </wp:positionV>
                      <wp:extent cx="1962150" cy="581025"/>
                      <wp:effectExtent l="19050" t="57150" r="19050" b="28575"/>
                      <wp:wrapNone/>
                      <wp:docPr id="4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 flipV="1">
                                <a:off x="0" y="0"/>
                                <a:ext cx="1962150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3" o:spid="_x0000_s3" o:spt="32" type="#_x0000_t32" style="position:absolute;z-index:251667456;o:allowoverlap:true;o:allowincell:true;mso-position-horizontal-relative:text;margin-left:-61.15pt;mso-position-horizontal:absolute;mso-position-vertical-relative:text;margin-top:57.30pt;mso-position-vertical:absolute;width:154.50pt;height:45.75pt;mso-wrap-distance-left:9.00pt;mso-wrap-distance-top:0.00pt;mso-wrap-distance-right:9.00pt;mso-wrap-distance-bottom:0.00pt;flip:y;visibility:visible;" filled="f" strokecolor="#7030A0" strokeweight="2.25pt">
                      <v:stroke dashstyle="solid"/>
                    </v:shape>
                  </w:pict>
                </mc:Fallback>
              </mc:AlternateContent>
            </w:r>
            <w:r>
              <w:rPr>
                <w:i/>
                <w:sz w:val="24"/>
                <w:lang w:val="en-CA"/>
              </w:rPr>
              <w:t xml:space="preserve">Poisonous effect on the kidneys</w:t>
            </w:r>
            <w:r>
              <w:rPr>
                <w:i/>
                <w:sz w:val="24"/>
                <w:lang w:val="en-CA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i/>
                <w:sz w:val="24"/>
                <w:lang w:val="en-CA"/>
              </w:rPr>
            </w:pPr>
            <w:r>
              <w:rPr>
                <w:i/>
                <w:sz w:val="24"/>
                <w:lang w:val="en-CA"/>
              </w:rPr>
              <w:t xml:space="preserve">Causes birth defects</w:t>
            </w:r>
            <w:r>
              <w:rPr>
                <w:i/>
                <w:sz w:val="24"/>
                <w:lang w:val="en-CA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i/>
                <w:sz w:val="24"/>
                <w:lang w:val="en-CA"/>
              </w:rPr>
            </w:pPr>
            <w:r>
              <w:rPr>
                <w:b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-757555</wp:posOffset>
                      </wp:positionH>
                      <wp:positionV relativeFrom="paragraph">
                        <wp:posOffset>71120</wp:posOffset>
                      </wp:positionV>
                      <wp:extent cx="2171700" cy="1143000"/>
                      <wp:effectExtent l="19050" t="38100" r="38100" b="19050"/>
                      <wp:wrapNone/>
                      <wp:docPr id="5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 flipV="1">
                                <a:off x="0" y="0"/>
                                <a:ext cx="2171700" cy="1143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4" o:spid="_x0000_s4" o:spt="32" type="#_x0000_t32" style="position:absolute;z-index:251661312;o:allowoverlap:true;o:allowincell:true;mso-position-horizontal-relative:text;margin-left:-59.65pt;mso-position-horizontal:absolute;mso-position-vertical-relative:text;margin-top:5.60pt;mso-position-vertical:absolute;width:171.00pt;height:90.00pt;mso-wrap-distance-left:9.00pt;mso-wrap-distance-top:0.00pt;mso-wrap-distance-right:9.00pt;mso-wrap-distance-bottom:0.00pt;flip:y;visibility:visible;" filled="f" strokecolor="#FF0000" strokeweight="2.25pt">
                      <v:stroke dashstyle="solid"/>
                    </v:shape>
                  </w:pict>
                </mc:Fallback>
              </mc:AlternateContent>
            </w:r>
            <w:r>
              <w:rPr>
                <w:i/>
                <w:sz w:val="24"/>
                <w:lang w:val="en-CA"/>
              </w:rPr>
              <w:t xml:space="preserve">Causes cancer</w:t>
            </w:r>
            <w:r>
              <w:rPr>
                <w:i/>
                <w:sz w:val="24"/>
                <w:lang w:val="en-CA"/>
              </w:rPr>
            </w:r>
          </w:p>
        </w:tc>
      </w:tr>
      <w:tr>
        <w:trPr/>
        <w:tc>
          <w:tcPr>
            <w:tcBorders/>
            <w:tcW w:w="6340" w:type="dxa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i/>
                <w:sz w:val="24"/>
                <w:lang w:val="en-CA"/>
              </w:rPr>
            </w:pPr>
            <w:r>
              <w:rPr>
                <w:i/>
                <w:sz w:val="24"/>
                <w:lang w:val="en-CA"/>
              </w:rPr>
              <w:t xml:space="preserve">Psychological or physiological craving for a drug</w:t>
            </w:r>
            <w:r>
              <w:rPr>
                <w:i/>
                <w:sz w:val="24"/>
                <w:lang w:val="en-CA"/>
              </w:rPr>
            </w:r>
          </w:p>
        </w:tc>
      </w:tr>
      <w:tr>
        <w:trPr/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i/>
                <w:sz w:val="24"/>
                <w:lang w:val="en-CA"/>
              </w:rPr>
            </w:pPr>
            <w:r>
              <w:rPr>
                <w:i/>
                <w:sz w:val="24"/>
                <w:lang w:val="en-CA"/>
              </w:rPr>
              <w:t xml:space="preserve">Symptoms that occur when the body is deprived of a drug</w:t>
            </w:r>
            <w:r>
              <w:rPr>
                <w:i/>
                <w:sz w:val="24"/>
                <w:lang w:val="en-CA"/>
              </w:rPr>
            </w:r>
          </w:p>
        </w:tc>
      </w:tr>
    </w:tbl>
    <w:p>
      <w:pPr>
        <w:pBdr/>
        <w:spacing w:after="120" w:line="23" w:lineRule="atLeast"/>
        <w:ind/>
        <w:rPr>
          <w:lang w:val="en-CA"/>
        </w:rPr>
      </w:pPr>
      <w:r>
        <w:rPr>
          <w:b/>
          <w:sz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1173479</wp:posOffset>
                </wp:positionV>
                <wp:extent cx="1076325" cy="1762125"/>
                <wp:effectExtent l="19050" t="19050" r="66675" b="47625"/>
                <wp:wrapNone/>
                <wp:docPr id="6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76325" cy="176212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66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32" type="#_x0000_t32" style="position:absolute;z-index:251665408;o:allowoverlap:true;o:allowincell:true;mso-position-horizontal-relative:text;margin-left:96.75pt;mso-position-horizontal:absolute;mso-position-vertical-relative:text;margin-top:92.40pt;mso-position-vertical:absolute;width:84.75pt;height:138.75pt;mso-wrap-distance-left:9.00pt;mso-wrap-distance-top:0.00pt;mso-wrap-distance-right:9.00pt;mso-wrap-distance-bottom:0.00pt;visibility:visible;" filled="f" strokecolor="#FF6600" strokeweight="2.25pt">
                <v:stroke dashstyle="solid"/>
              </v:shape>
            </w:pict>
          </mc:Fallback>
        </mc:AlternateContent>
      </w:r>
      <w:r>
        <w:rPr>
          <w:lang w:val="en-CA"/>
        </w:rPr>
      </w:r>
    </w:p>
    <w:tbl>
      <w:tblPr>
        <w:tblStyle w:val="836"/>
        <w:tblW w:w="2260" w:type="dxa"/>
        <w:tblBorders/>
        <w:tblCellMar>
          <w:top w:w="284" w:type="dxa"/>
        </w:tblCellMar>
        <w:tblLook w:val="04A0" w:firstRow="1" w:lastRow="0" w:firstColumn="1" w:lastColumn="0" w:noHBand="0" w:noVBand="1"/>
      </w:tblPr>
      <w:tblGrid>
        <w:gridCol w:w="2260"/>
      </w:tblGrid>
      <w:tr>
        <w:trPr>
          <w:trHeight w:val="386"/>
        </w:trPr>
        <w:tc>
          <w:tcPr>
            <w:shd w:val="clear" w:color="auto" w:fill="d9d9d9" w:themeFill="background1" w:themeFillShade="D9"/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 xml:space="preserve">Effect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 xml:space="preserve"> </w:t>
            </w:r>
            <w:r>
              <w:rPr>
                <w:b/>
                <w:sz w:val="24"/>
                <w:lang w:val="en-CA"/>
              </w:rPr>
              <w:t xml:space="preserve">Dependency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 xml:space="preserve">Withdrawal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 xml:space="preserve">Teratogenic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1153795</wp:posOffset>
                      </wp:positionH>
                      <wp:positionV relativeFrom="paragraph">
                        <wp:posOffset>-1744345</wp:posOffset>
                      </wp:positionV>
                      <wp:extent cx="1581150" cy="1838325"/>
                      <wp:effectExtent l="19050" t="38100" r="38100" b="28575"/>
                      <wp:wrapNone/>
                      <wp:docPr id="7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 flipV="1">
                                <a:off x="0" y="0"/>
                                <a:ext cx="1581150" cy="18383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0070C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6" o:spid="_x0000_s6" o:spt="32" type="#_x0000_t32" style="position:absolute;z-index:251659264;o:allowoverlap:true;o:allowincell:true;mso-position-horizontal-relative:text;margin-left:90.85pt;mso-position-horizontal:absolute;mso-position-vertical-relative:text;margin-top:-137.35pt;mso-position-vertical:absolute;width:124.50pt;height:144.75pt;mso-wrap-distance-left:9.00pt;mso-wrap-distance-top:0.00pt;mso-wrap-distance-right:9.00pt;mso-wrap-distance-bottom:0.00pt;flip:y;visibility:visible;" filled="f" strokecolor="#0070C0" strokeweight="2.25pt">
                      <v:stroke dashstyle="solid"/>
                    </v:shape>
                  </w:pict>
                </mc:Fallback>
              </mc:AlternateContent>
            </w:r>
            <w:r>
              <w:rPr>
                <w:b/>
                <w:sz w:val="24"/>
                <w:lang w:val="en-CA"/>
              </w:rPr>
              <w:t xml:space="preserve">Nephrotoxic</w:t>
            </w:r>
            <w:r>
              <w:rPr>
                <w:b/>
                <w:sz w:val="24"/>
                <w:lang w:val="en-CA"/>
              </w:rPr>
            </w:r>
          </w:p>
        </w:tc>
      </w:tr>
      <w:tr>
        <w:trPr>
          <w:trHeight w:val="20"/>
        </w:trPr>
        <w:tc>
          <w:tcPr>
            <w:tcBorders/>
            <w:tcW w:w="0" w:type="auto"/>
            <w:vAlign w:val="center"/>
            <w:textDirection w:val="lrTb"/>
            <w:noWrap w:val="false"/>
          </w:tcPr>
          <w:p>
            <w:pPr>
              <w:pBdr/>
              <w:spacing w:after="120" w:line="480" w:lineRule="auto"/>
              <w:ind/>
              <w:jc w:val="center"/>
              <w:rPr>
                <w:b/>
                <w:sz w:val="24"/>
                <w:lang w:val="en-CA"/>
              </w:rPr>
            </w:pPr>
            <w:r>
              <w:rPr>
                <w:b/>
                <w:sz w:val="24"/>
                <w:lang w:val="en-CA"/>
              </w:rPr>
              <w:t xml:space="preserve">Carcinogenic</w:t>
            </w:r>
            <w:r>
              <w:rPr>
                <w:b/>
                <w:sz w:val="24"/>
                <w:lang w:val="en-CA"/>
              </w:rPr>
            </w:r>
          </w:p>
        </w:tc>
      </w:tr>
    </w:tbl>
    <w:p>
      <w:pPr>
        <w:pBdr/>
        <w:spacing w:after="120" w:line="480" w:lineRule="auto"/>
        <w:ind/>
        <w:rPr>
          <w:sz w:val="24"/>
          <w:lang w:val="en-CA"/>
        </w:rPr>
      </w:pPr>
      <w:r>
        <w:rPr>
          <w:sz w:val="24"/>
          <w:lang w:val="en-CA"/>
        </w:rPr>
      </w:r>
      <w:r>
        <w:rPr>
          <w:sz w:val="24"/>
          <w:lang w:val="en-CA"/>
        </w:rPr>
      </w:r>
    </w:p>
    <w:p>
      <w:pPr>
        <w:pBdr/>
        <w:spacing w:after="120" w:line="480" w:lineRule="auto"/>
        <w:ind/>
        <w:rPr>
          <w:sz w:val="24"/>
          <w:lang w:val="en-CA"/>
        </w:rPr>
      </w:pPr>
      <w:r>
        <w:rPr>
          <w:sz w:val="24"/>
          <w:lang w:val="en-CA"/>
        </w:rPr>
      </w:r>
      <w:r>
        <w:rPr>
          <w:sz w:val="24"/>
          <w:lang w:val="en-CA"/>
        </w:rPr>
      </w:r>
    </w:p>
    <w:p>
      <w:pPr>
        <w:pBdr/>
        <w:spacing w:after="120" w:line="480" w:lineRule="auto"/>
        <w:ind/>
        <w:rPr>
          <w:sz w:val="24"/>
          <w:lang w:val="en-CA"/>
        </w:rPr>
      </w:pPr>
      <w:r>
        <w:rPr>
          <w:sz w:val="24"/>
          <w:lang w:val="en-CA"/>
        </w:rPr>
      </w:r>
      <w:r>
        <w:rPr>
          <w:sz w:val="24"/>
          <w:lang w:val="en-CA"/>
        </w:rPr>
      </w:r>
    </w:p>
    <w:p>
      <w:pPr>
        <w:pStyle w:val="827"/>
        <w:numPr>
          <w:ilvl w:val="0"/>
          <w:numId w:val="7"/>
        </w:numPr>
        <w:pBdr/>
        <w:spacing w:after="120" w:line="23" w:lineRule="atLeast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</w:p>
    <w:tbl>
      <w:tblPr>
        <w:tblStyle w:val="836"/>
        <w:tblW w:w="10060" w:type="dxa"/>
        <w:jc w:val="center"/>
        <w:tblBorders/>
        <w:tblLook w:val="04A0" w:firstRow="1" w:lastRow="0" w:firstColumn="1" w:lastColumn="0" w:noHBand="0" w:noVBand="1"/>
      </w:tblPr>
      <w:tblGrid>
        <w:gridCol w:w="1693"/>
        <w:gridCol w:w="3069"/>
        <w:gridCol w:w="2053"/>
        <w:gridCol w:w="3245"/>
      </w:tblGrid>
      <w:tr>
        <w:trPr>
          <w:jc w:val="center"/>
        </w:trPr>
        <w:tc>
          <w:tcPr>
            <w:shd w:val="clear" w:color="auto" w:fill="d9d9d9" w:themeFill="background1" w:themeFillShade="D9"/>
            <w:tcBorders/>
            <w:tcW w:w="1693" w:type="dxa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Effect</w:t>
            </w:r>
            <w:r>
              <w:rPr>
                <w:rFonts w:asciiTheme="minorHAnsi" w:hAnsiTheme="minorHAnsi" w:eastAsiaTheme="minorHAnsi" w:cstheme="minorBidi"/>
                <w:b/>
                <w:lang w:val="en-CA"/>
              </w:rPr>
            </w:r>
          </w:p>
        </w:tc>
        <w:tc>
          <w:tcPr>
            <w:shd w:val="clear" w:color="auto" w:fill="d9d9d9" w:themeFill="background1" w:themeFillShade="D9"/>
            <w:tcBorders/>
            <w:tcW w:w="3069" w:type="dxa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Definition</w:t>
            </w:r>
            <w:r>
              <w:rPr>
                <w:rFonts w:asciiTheme="minorHAnsi" w:hAnsiTheme="minorHAnsi" w:eastAsiaTheme="minorHAnsi" w:cstheme="minorBidi"/>
                <w:lang w:val="en-CA"/>
              </w:rPr>
            </w:r>
          </w:p>
        </w:tc>
        <w:tc>
          <w:tcPr>
            <w:shd w:val="clear" w:color="auto" w:fill="d9d9d9" w:themeFill="background1" w:themeFillShade="D9"/>
            <w:tcBorders/>
            <w:tcW w:w="2053" w:type="dxa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Cause</w:t>
            </w:r>
            <w:r>
              <w:rPr>
                <w:rFonts w:asciiTheme="minorHAnsi" w:hAnsiTheme="minorHAnsi" w:eastAsiaTheme="minorHAnsi" w:cstheme="minorBidi"/>
                <w:lang w:val="en-CA"/>
              </w:rPr>
            </w:r>
          </w:p>
        </w:tc>
        <w:tc>
          <w:tcPr>
            <w:shd w:val="clear" w:color="auto" w:fill="d9d9d9" w:themeFill="background1" w:themeFillShade="D9"/>
            <w:tcBorders/>
            <w:tcW w:w="3245" w:type="dxa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Example</w:t>
            </w:r>
            <w:r>
              <w:rPr>
                <w:rFonts w:asciiTheme="minorHAnsi" w:hAnsiTheme="minorHAnsi" w:eastAsiaTheme="minorHAnsi" w:cstheme="minorBidi"/>
                <w:lang w:val="en-CA"/>
              </w:rPr>
            </w:r>
          </w:p>
        </w:tc>
      </w:tr>
      <w:tr>
        <w:trPr>
          <w:jc w:val="center"/>
          <w:trHeight w:val="1768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i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i/>
                <w:sz w:val="28"/>
                <w:lang w:val="en-CA"/>
              </w:rPr>
              <w:t xml:space="preserve">Toxic</w:t>
            </w:r>
            <w:r>
              <w:rPr>
                <w:rFonts w:asciiTheme="minorHAnsi" w:hAnsiTheme="minorHAnsi" w:eastAsiaTheme="minorHAnsi" w:cstheme="minorBidi"/>
                <w:b/>
                <w:i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Unwanted effect, that is an extension of the therapeutic effect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Inadequate elimination, overdose or metabolism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Respiratory depression, kidney failure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</w:tr>
      <w:tr>
        <w:trPr>
          <w:jc w:val="center"/>
          <w:trHeight w:val="1959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Idiosyncratic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Unexpected reaction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Unknown</w:t>
            </w:r>
            <w:r>
              <w:rPr>
                <w:rFonts w:asciiTheme="minorHAnsi" w:hAnsiTheme="minorHAnsi" w:eastAsiaTheme="minorHAnsi" w:cstheme="minorBidi"/>
                <w:b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Sedative causes anxiety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</w:tr>
      <w:tr>
        <w:trPr>
          <w:jc w:val="center"/>
          <w:trHeight w:val="1986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Synergistic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Responses to combined drugs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Due to chemical or physiological drug interaction</w:t>
            </w:r>
            <w:r>
              <w:rPr>
                <w:rFonts w:asciiTheme="minorHAnsi" w:hAnsiTheme="minorHAnsi" w:eastAsiaTheme="minorHAnsi" w:cstheme="minorBidi"/>
                <w:b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Taking heparin with Alcohol </w:t>
            </w:r>
            <w:r>
              <w:rPr>
                <w:rFonts w:asciiTheme="minorHAnsi" w:hAnsiTheme="minorHAnsi" w:eastAsiaTheme="minorHAnsi" w:cstheme="minorHAnsi"/>
                <w:b/>
                <w:sz w:val="28"/>
                <w:lang w:val="en-CA"/>
              </w:rPr>
              <w:t xml:space="preserve">↑</w:t>
            </w: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 bleeding</w:t>
            </w:r>
            <w:r>
              <w:rPr>
                <w:rFonts w:asciiTheme="minorHAnsi" w:hAnsiTheme="minorHAnsi" w:eastAsiaTheme="minorHAnsi" w:cstheme="minorBidi"/>
                <w:b/>
                <w:lang w:val="en-CA"/>
              </w:rPr>
            </w:r>
          </w:p>
        </w:tc>
      </w:tr>
      <w:tr>
        <w:trPr>
          <w:jc w:val="center"/>
          <w:trHeight w:val="2118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Therapeutic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Purpose of the medication</w:t>
            </w: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When a drug binds to the desired receptor cells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Pain relief, reduced inflammation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</w:tr>
      <w:tr>
        <w:trPr>
          <w:jc w:val="center"/>
          <w:trHeight w:val="2125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Adverse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Undesirable, more severe consequence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Immune system over-reaction after medication administration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Anaphylactic shock</w:t>
            </w: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r>
          </w:p>
        </w:tc>
      </w:tr>
      <w:tr>
        <w:trPr>
          <w:jc w:val="center"/>
          <w:trHeight w:val="2094"/>
        </w:trPr>
        <w:tc>
          <w:tcPr>
            <w:tcBorders/>
            <w:tcW w:w="169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Side Effects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3069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  <w:t xml:space="preserve">Expected to occur, but does not contribute to desired drug effect</w:t>
            </w:r>
            <w:r>
              <w:rPr>
                <w:rFonts w:asciiTheme="minorHAnsi" w:hAnsiTheme="minorHAnsi" w:eastAsiaTheme="minorHAnsi" w:cstheme="minorBidi"/>
                <w:b/>
                <w:color w:val="ff0000"/>
                <w:sz w:val="28"/>
                <w:lang w:val="en-CA"/>
              </w:rPr>
            </w:r>
          </w:p>
        </w:tc>
        <w:tc>
          <w:tcPr>
            <w:tcBorders/>
            <w:tcW w:w="2053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Related to the chemical composition of the drug</w:t>
            </w: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r>
          </w:p>
        </w:tc>
        <w:tc>
          <w:tcPr>
            <w:tcBorders/>
            <w:tcW w:w="3245" w:type="dxa"/>
            <w:vAlign w:val="center"/>
            <w:textDirection w:val="lrTb"/>
            <w:noWrap w:val="false"/>
          </w:tcPr>
          <w:p>
            <w:pPr>
              <w:pBdr/>
              <w:spacing w:line="240" w:lineRule="auto"/>
              <w:ind/>
              <w:jc w:val="center"/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pP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  <w:t xml:space="preserve">Nausea, dry mouth</w:t>
            </w:r>
            <w:r>
              <w:rPr>
                <w:rFonts w:asciiTheme="minorHAnsi" w:hAnsiTheme="minorHAnsi" w:eastAsiaTheme="minorHAnsi" w:cstheme="minorBidi"/>
                <w:b/>
                <w:sz w:val="28"/>
                <w:lang w:val="en-CA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834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30"/>
            <w:pBdr/>
            <w:spacing w:after="60"/>
            <w:ind/>
            <w:rPr/>
          </w:pPr>
          <w:r>
            <w:t xml:space="preserve">Patient Care </w:t>
          </w:r>
          <w:r/>
          <w:r/>
        </w:p>
      </w:tc>
    </w:tr>
  </w:tbl>
  <w:p>
    <w:pPr>
      <w:pStyle w:val="83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2"/>
      <w:pBdr/>
      <w:spacing w:after="0"/>
      <w:ind/>
      <w:jc w:val="left"/>
      <w:rPr/>
    </w:pPr>
    <w:r>
      <w:t xml:space="preserve">  </w: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    </w:t>
    </w:r>
    <w:r>
      <w:t xml:space="preserve">Patient Care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8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36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23"/>
    <w:next w:val="823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23"/>
    <w:next w:val="823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23"/>
    <w:next w:val="82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23"/>
    <w:next w:val="82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23"/>
    <w:next w:val="82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23"/>
    <w:next w:val="82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23"/>
    <w:next w:val="82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23"/>
    <w:next w:val="82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23"/>
    <w:next w:val="82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24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2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2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2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2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2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2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2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2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23"/>
    <w:next w:val="82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2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23"/>
    <w:next w:val="82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2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2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23"/>
    <w:next w:val="82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2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2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2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2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2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23"/>
    <w:next w:val="82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2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2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2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2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2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23"/>
    <w:next w:val="823"/>
    <w:uiPriority w:val="39"/>
    <w:unhideWhenUsed/>
    <w:pPr>
      <w:pBdr/>
      <w:spacing w:after="100"/>
      <w:ind/>
    </w:pPr>
  </w:style>
  <w:style w:type="paragraph" w:styleId="189">
    <w:name w:val="toc 2"/>
    <w:basedOn w:val="823"/>
    <w:next w:val="823"/>
    <w:uiPriority w:val="39"/>
    <w:unhideWhenUsed/>
    <w:pPr>
      <w:pBdr/>
      <w:spacing w:after="100"/>
      <w:ind w:left="220"/>
    </w:pPr>
  </w:style>
  <w:style w:type="paragraph" w:styleId="190">
    <w:name w:val="toc 3"/>
    <w:basedOn w:val="823"/>
    <w:next w:val="823"/>
    <w:uiPriority w:val="39"/>
    <w:unhideWhenUsed/>
    <w:pPr>
      <w:pBdr/>
      <w:spacing w:after="100"/>
      <w:ind w:left="440"/>
    </w:pPr>
  </w:style>
  <w:style w:type="paragraph" w:styleId="191">
    <w:name w:val="toc 4"/>
    <w:basedOn w:val="823"/>
    <w:next w:val="823"/>
    <w:uiPriority w:val="39"/>
    <w:unhideWhenUsed/>
    <w:pPr>
      <w:pBdr/>
      <w:spacing w:after="100"/>
      <w:ind w:left="660"/>
    </w:pPr>
  </w:style>
  <w:style w:type="paragraph" w:styleId="192">
    <w:name w:val="toc 5"/>
    <w:basedOn w:val="823"/>
    <w:next w:val="823"/>
    <w:uiPriority w:val="39"/>
    <w:unhideWhenUsed/>
    <w:pPr>
      <w:pBdr/>
      <w:spacing w:after="100"/>
      <w:ind w:left="880"/>
    </w:pPr>
  </w:style>
  <w:style w:type="paragraph" w:styleId="193">
    <w:name w:val="toc 6"/>
    <w:basedOn w:val="823"/>
    <w:next w:val="823"/>
    <w:uiPriority w:val="39"/>
    <w:unhideWhenUsed/>
    <w:pPr>
      <w:pBdr/>
      <w:spacing w:after="100"/>
      <w:ind w:left="1100"/>
    </w:pPr>
  </w:style>
  <w:style w:type="paragraph" w:styleId="194">
    <w:name w:val="toc 7"/>
    <w:basedOn w:val="823"/>
    <w:next w:val="823"/>
    <w:uiPriority w:val="39"/>
    <w:unhideWhenUsed/>
    <w:pPr>
      <w:pBdr/>
      <w:spacing w:after="100"/>
      <w:ind w:left="1320"/>
    </w:pPr>
  </w:style>
  <w:style w:type="paragraph" w:styleId="195">
    <w:name w:val="toc 8"/>
    <w:basedOn w:val="823"/>
    <w:next w:val="823"/>
    <w:uiPriority w:val="39"/>
    <w:unhideWhenUsed/>
    <w:pPr>
      <w:pBdr/>
      <w:spacing w:after="100"/>
      <w:ind w:left="1540"/>
    </w:pPr>
  </w:style>
  <w:style w:type="paragraph" w:styleId="196">
    <w:name w:val="toc 9"/>
    <w:basedOn w:val="823"/>
    <w:next w:val="82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23"/>
    <w:next w:val="823"/>
    <w:uiPriority w:val="99"/>
    <w:unhideWhenUsed/>
    <w:pPr>
      <w:pBdr/>
      <w:spacing w:after="0" w:afterAutospacing="0"/>
      <w:ind/>
    </w:pPr>
  </w:style>
  <w:style w:type="paragraph" w:styleId="823" w:default="1">
    <w:name w:val="Normal"/>
    <w:qFormat/>
    <w:pPr>
      <w:pBdr/>
      <w:spacing w:after="0" w:line="276" w:lineRule="auto"/>
      <w:ind/>
    </w:pPr>
    <w:rPr>
      <w:rFonts w:ascii="Arial" w:hAnsi="Arial" w:eastAsia="Times New Roman" w:cs="Arial"/>
      <w:lang w:val="en-US"/>
    </w:rPr>
  </w:style>
  <w:style w:type="character" w:styleId="824" w:default="1">
    <w:name w:val="Default Paragraph Font"/>
    <w:uiPriority w:val="1"/>
    <w:semiHidden/>
    <w:unhideWhenUsed/>
    <w:pPr>
      <w:pBdr/>
      <w:spacing/>
      <w:ind/>
    </w:pPr>
  </w:style>
  <w:style w:type="table" w:styleId="8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6" w:default="1">
    <w:name w:val="No List"/>
    <w:uiPriority w:val="99"/>
    <w:semiHidden/>
    <w:unhideWhenUsed/>
    <w:pPr>
      <w:pBdr/>
      <w:spacing/>
      <w:ind/>
    </w:pPr>
  </w:style>
  <w:style w:type="paragraph" w:styleId="827">
    <w:name w:val="List Paragraph"/>
    <w:basedOn w:val="823"/>
    <w:uiPriority w:val="34"/>
    <w:qFormat/>
    <w:pPr>
      <w:pBdr/>
      <w:spacing/>
      <w:ind w:left="720"/>
      <w:contextualSpacing w:val="true"/>
    </w:pPr>
  </w:style>
  <w:style w:type="paragraph" w:styleId="828">
    <w:name w:val="Header"/>
    <w:basedOn w:val="823"/>
    <w:link w:val="829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29" w:customStyle="1">
    <w:name w:val="Header Char"/>
    <w:basedOn w:val="824"/>
    <w:link w:val="828"/>
    <w:uiPriority w:val="99"/>
    <w:pPr>
      <w:pBdr/>
      <w:spacing/>
      <w:ind/>
    </w:pPr>
    <w:rPr>
      <w:rFonts w:ascii="Arial" w:hAnsi="Arial" w:eastAsia="Times New Roman" w:cs="Arial"/>
      <w:lang w:val="en-US"/>
    </w:rPr>
  </w:style>
  <w:style w:type="paragraph" w:styleId="830">
    <w:name w:val="Footer"/>
    <w:basedOn w:val="823"/>
    <w:link w:val="831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31" w:customStyle="1">
    <w:name w:val="Footer Char"/>
    <w:basedOn w:val="824"/>
    <w:link w:val="830"/>
    <w:uiPriority w:val="99"/>
    <w:pPr>
      <w:pBdr/>
      <w:spacing/>
      <w:ind/>
    </w:pPr>
    <w:rPr>
      <w:rFonts w:ascii="Arial" w:hAnsi="Arial" w:eastAsia="Times New Roman" w:cs="Arial"/>
      <w:lang w:val="en-US"/>
    </w:rPr>
  </w:style>
  <w:style w:type="paragraph" w:styleId="832">
    <w:name w:val="Title"/>
    <w:basedOn w:val="823"/>
    <w:next w:val="823"/>
    <w:link w:val="833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33" w:customStyle="1">
    <w:name w:val="Title Char"/>
    <w:basedOn w:val="824"/>
    <w:link w:val="832"/>
    <w:uiPriority w:val="10"/>
    <w:pPr>
      <w:pBdr/>
      <w:spacing/>
      <w:ind/>
    </w:pPr>
    <w:rPr>
      <w:rFonts w:ascii="Arial" w:hAnsi="Arial" w:eastAsia="Times New Roman" w:cs="Arial"/>
      <w:b/>
      <w:smallCaps/>
      <w:sz w:val="32"/>
      <w:lang w:val="en-US"/>
    </w:rPr>
  </w:style>
  <w:style w:type="paragraph" w:styleId="834" w:customStyle="1">
    <w:name w:val="Page No."/>
    <w:basedOn w:val="830"/>
    <w:qFormat/>
    <w:pPr>
      <w:pBdr/>
      <w:spacing w:before="60"/>
      <w:ind/>
      <w:jc w:val="right"/>
    </w:pPr>
    <w:rPr>
      <w:b/>
      <w:sz w:val="20"/>
      <w:szCs w:val="20"/>
    </w:rPr>
  </w:style>
  <w:style w:type="paragraph" w:styleId="835" w:customStyle="1">
    <w:name w:val="Copyright Footer"/>
    <w:basedOn w:val="823"/>
    <w:qFormat/>
    <w:pPr>
      <w:pBdr/>
      <w:spacing/>
      <w:ind/>
    </w:pPr>
    <w:rPr>
      <w:sz w:val="20"/>
      <w:szCs w:val="20"/>
    </w:rPr>
  </w:style>
  <w:style w:type="table" w:styleId="836">
    <w:name w:val="Table Grid"/>
    <w:basedOn w:val="825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7E6E4D-7799-466A-96D0-830B8B5862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33E5E-0E03-4ACC-AE98-A24CCE7A799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DC7CC4A-37B2-4E2F-8E98-A8FA9E5CB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