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Futura PT Demi" w:hAnsi="Futura PT Demi" w:cs="Arial"/>
          <w:b/>
          <w:sz w:val="28"/>
          <w:szCs w:val="28"/>
        </w:rPr>
      </w:pPr>
      <w:r>
        <w:rPr>
          <w:rFonts w:ascii="Futura PT Demi" w:hAnsi="Futura PT Demi" w:cs="Arial"/>
          <w:b/>
          <w:sz w:val="28"/>
          <w:szCs w:val="28"/>
        </w:rPr>
      </w:r>
      <w:r>
        <w:rPr>
          <w:rFonts w:ascii="Futura PT Demi" w:hAnsi="Futura PT Demi" w:cs="Arial"/>
          <w:b/>
          <w:sz w:val="28"/>
          <w:szCs w:val="28"/>
        </w:rPr>
      </w:r>
    </w:p>
    <w:p>
      <w:pPr>
        <w:pBdr/>
        <w:spacing/>
        <w:ind/>
        <w:rPr>
          <w:rFonts w:ascii="Futura PT Demi" w:hAnsi="Futura PT Demi" w:cs="Arial"/>
          <w:b/>
          <w:sz w:val="28"/>
          <w:szCs w:val="28"/>
        </w:rPr>
      </w:pPr>
      <w:r>
        <w:rPr>
          <w:rFonts w:ascii="Futura PT Demi" w:hAnsi="Futura PT Demi" w:cs="Arial"/>
          <w:b/>
          <w:sz w:val="28"/>
          <w:szCs w:val="28"/>
        </w:rPr>
      </w:r>
      <w:r>
        <w:rPr>
          <w:rFonts w:ascii="Futura PT Demi" w:hAnsi="Futura PT Demi" w:cs="Arial"/>
          <w:b/>
          <w:sz w:val="28"/>
          <w:szCs w:val="28"/>
        </w:rPr>
      </w:r>
    </w:p>
    <w:p>
      <w:pPr>
        <w:pBdr/>
        <w:spacing/>
        <w:ind/>
        <w:rPr>
          <w:rFonts w:ascii="Futura PT Demi" w:hAnsi="Futura PT Demi" w:cs="Arial"/>
          <w:b/>
          <w:sz w:val="28"/>
          <w:szCs w:val="28"/>
        </w:rPr>
      </w:pPr>
      <w:r>
        <w:rPr>
          <w:rFonts w:ascii="Futura PT Demi" w:hAnsi="Futura PT Demi" w:cs="Arial"/>
          <w:b/>
          <w:sz w:val="28"/>
          <w:szCs w:val="28"/>
        </w:rPr>
      </w:r>
      <w:r>
        <w:rPr>
          <w:rFonts w:ascii="Futura PT Demi" w:hAnsi="Futura PT Demi" w:cs="Arial"/>
          <w:b/>
          <w:sz w:val="28"/>
          <w:szCs w:val="28"/>
        </w:rPr>
      </w:r>
    </w:p>
    <w:p>
      <w:pPr>
        <w:pBdr/>
        <w:spacing/>
        <w:ind/>
        <w:rPr>
          <w:rFonts w:ascii="Futura PT Demi" w:hAnsi="Futura PT Demi" w:cs="Arial"/>
          <w:b/>
          <w:bCs/>
          <w:sz w:val="28"/>
          <w:szCs w:val="28"/>
        </w:rPr>
      </w:pPr>
      <w:r>
        <w:rPr>
          <w:rFonts w:ascii="Futura PT Demi" w:hAnsi="Futura PT Demi" w:cs="Arial"/>
          <w:b/>
          <w:bCs/>
          <w:sz w:val="28"/>
          <w:szCs w:val="28"/>
        </w:rPr>
        <w:t xml:space="preserve">MRAD 202 – Patient Care 2</w:t>
      </w:r>
      <w:r>
        <w:rPr>
          <w:rFonts w:ascii="Futura PT Demi" w:hAnsi="Futura PT Demi" w:cs="Arial"/>
          <w:b/>
          <w:bCs/>
          <w:sz w:val="28"/>
          <w:szCs w:val="28"/>
        </w:rPr>
      </w:r>
    </w:p>
    <w:p>
      <w:pPr>
        <w:pBdr/>
        <w:spacing/>
        <w:ind/>
        <w:rPr>
          <w:rFonts w:ascii="Futura PT Demi" w:hAnsi="Futura PT Demi"/>
          <w:b/>
          <w:sz w:val="28"/>
          <w:szCs w:val="28"/>
        </w:rPr>
      </w:pPr>
      <w:r>
        <w:rPr>
          <w:rFonts w:ascii="Futura PT Demi" w:hAnsi="Futura PT Demi"/>
          <w:b/>
          <w:sz w:val="28"/>
          <w:szCs w:val="28"/>
        </w:rPr>
        <w:t xml:space="preserve">Cleaning and Proper Waste Disposal </w:t>
      </w:r>
      <w:r>
        <w:rPr>
          <w:rFonts w:ascii="Futura PT Demi" w:hAnsi="Futura PT Demi"/>
          <w:b/>
          <w:sz w:val="28"/>
          <w:szCs w:val="28"/>
        </w:rPr>
      </w:r>
    </w:p>
    <w:p>
      <w:pPr>
        <w:pBdr/>
        <w:spacing/>
        <w:ind/>
        <w:jc w:val="center"/>
        <w:rPr>
          <w:rFonts w:ascii="Futura PT Book" w:hAnsi="Futura PT Book"/>
          <w:b/>
          <w:sz w:val="24"/>
          <w:szCs w:val="24"/>
        </w:rPr>
      </w:pPr>
      <w:r>
        <w:rPr>
          <w:rFonts w:ascii="Futura PT Book" w:hAnsi="Futura PT Book"/>
          <w:b/>
          <w:sz w:val="24"/>
          <w:szCs w:val="24"/>
        </w:rPr>
      </w:r>
      <w:r>
        <w:rPr>
          <w:rFonts w:ascii="Futura PT Book" w:hAnsi="Futura PT Book"/>
          <w:b/>
          <w:sz w:val="24"/>
          <w:szCs w:val="24"/>
        </w:rPr>
      </w:r>
    </w:p>
    <w:p>
      <w:pPr>
        <w:numPr>
          <w:ilvl w:val="0"/>
          <w:numId w:val="27"/>
        </w:numPr>
        <w:pBdr/>
        <w:spacing w:after="0" w:line="276" w:lineRule="auto"/>
        <w:ind/>
        <w:rPr>
          <w:rFonts w:ascii="Futura PT Book" w:hAnsi="Futura PT Book"/>
          <w:sz w:val="24"/>
          <w:szCs w:val="24"/>
        </w:rPr>
      </w:pPr>
      <w:r>
        <w:rPr>
          <w:rFonts w:ascii="Futura PT Book" w:hAnsi="Futura PT Book"/>
          <w:sz w:val="24"/>
          <w:szCs w:val="24"/>
        </w:rPr>
        <w:t xml:space="preserve">Wear a fresh uniform each day. Don’t place your uniform with other clothing in your personal closet.</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numPr>
          <w:ilvl w:val="0"/>
          <w:numId w:val="27"/>
        </w:numPr>
        <w:pBdr/>
        <w:spacing w:after="0" w:line="276" w:lineRule="auto"/>
        <w:ind/>
        <w:rPr>
          <w:rFonts w:ascii="Futura PT Book" w:hAnsi="Futura PT Book"/>
          <w:sz w:val="24"/>
          <w:szCs w:val="24"/>
        </w:rPr>
      </w:pPr>
      <w:r>
        <w:rPr>
          <w:rFonts w:ascii="Futura PT Book" w:hAnsi="Futura PT Book"/>
          <w:sz w:val="24"/>
          <w:szCs w:val="24"/>
        </w:rPr>
        <w:t xml:space="preserve">Pillow coverings should be changed after each use by a patient. Handle linen in a way that they do not raise dust.</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numPr>
          <w:ilvl w:val="0"/>
          <w:numId w:val="27"/>
        </w:numPr>
        <w:pBdr/>
        <w:spacing w:after="0" w:line="276" w:lineRule="auto"/>
        <w:ind/>
        <w:rPr>
          <w:rFonts w:ascii="Futura PT Book" w:hAnsi="Futura PT Book"/>
          <w:sz w:val="24"/>
          <w:szCs w:val="24"/>
        </w:rPr>
      </w:pPr>
      <w:r>
        <w:rPr>
          <w:rFonts w:ascii="Futura PT Book" w:hAnsi="Futura PT Book"/>
          <w:sz w:val="24"/>
          <w:szCs w:val="24"/>
        </w:rPr>
        <w:t xml:space="preserve">Flush away the contents of bedpans and urinals promptly unless they are being saved for a diagnostic specimen.</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numPr>
          <w:ilvl w:val="0"/>
          <w:numId w:val="27"/>
        </w:numPr>
        <w:pBdr/>
        <w:spacing w:after="0" w:line="276" w:lineRule="auto"/>
        <w:ind/>
        <w:rPr>
          <w:rFonts w:ascii="Futura PT Book" w:hAnsi="Futura PT Book"/>
          <w:sz w:val="24"/>
          <w:szCs w:val="24"/>
        </w:rPr>
      </w:pPr>
      <w:r>
        <w:rPr>
          <w:rFonts w:ascii="Futura PT Book" w:hAnsi="Futura PT Book"/>
          <w:sz w:val="24"/>
          <w:szCs w:val="24"/>
        </w:rPr>
        <w:t xml:space="preserve">Rinse bedpans and urinals and send them to the proper place for re-sterilization.</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numPr>
          <w:ilvl w:val="0"/>
          <w:numId w:val="27"/>
        </w:numPr>
        <w:pBdr/>
        <w:spacing w:after="0" w:line="276" w:lineRule="auto"/>
        <w:ind/>
        <w:rPr>
          <w:rFonts w:ascii="Futura PT Book" w:hAnsi="Futura PT Book"/>
          <w:sz w:val="24"/>
          <w:szCs w:val="24"/>
        </w:rPr>
      </w:pPr>
      <w:r>
        <w:rPr>
          <w:rFonts w:ascii="Futura PT Book" w:hAnsi="Futura PT Book"/>
          <w:sz w:val="24"/>
          <w:szCs w:val="24"/>
        </w:rPr>
        <w:t xml:space="preserve">Use equipment and supplies for one patient only. After patient leaves the area, supplies must be destroyed or re-sterilized before being used again.</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numPr>
          <w:ilvl w:val="0"/>
          <w:numId w:val="27"/>
        </w:numPr>
        <w:pBdr/>
        <w:spacing w:after="0" w:line="276" w:lineRule="auto"/>
        <w:ind/>
        <w:rPr>
          <w:rFonts w:ascii="Futura PT Book" w:hAnsi="Futura PT Book"/>
          <w:sz w:val="24"/>
          <w:szCs w:val="24"/>
        </w:rPr>
      </w:pPr>
      <w:r>
        <w:rPr>
          <w:rFonts w:ascii="Futura PT Book" w:hAnsi="Futura PT Book"/>
          <w:sz w:val="24"/>
          <w:szCs w:val="24"/>
        </w:rPr>
        <w:t xml:space="preserve">Use paper cups in the Diagnostic Imaging (DI) department and dispose of them after a single use.</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numPr>
          <w:ilvl w:val="0"/>
          <w:numId w:val="27"/>
        </w:numPr>
        <w:pBdr/>
        <w:spacing w:after="0" w:line="276" w:lineRule="auto"/>
        <w:ind/>
        <w:rPr>
          <w:rFonts w:ascii="Futura PT Book" w:hAnsi="Futura PT Book"/>
          <w:sz w:val="24"/>
          <w:szCs w:val="24"/>
        </w:rPr>
      </w:pPr>
      <w:r>
        <w:rPr>
          <w:rFonts w:ascii="Futura PT Book" w:hAnsi="Futura PT Book"/>
          <w:sz w:val="24"/>
          <w:szCs w:val="24"/>
        </w:rPr>
        <w:t xml:space="preserve">Floors are heavily contaminated. If an item to be used for patient care falls to the floor, discard it or send it to the proper department to be re-sterilized.</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numPr>
          <w:ilvl w:val="0"/>
          <w:numId w:val="27"/>
        </w:numPr>
        <w:pBdr/>
        <w:spacing w:after="0" w:line="276" w:lineRule="auto"/>
        <w:ind/>
        <w:rPr>
          <w:rFonts w:ascii="Futura PT Book" w:hAnsi="Futura PT Book"/>
          <w:sz w:val="24"/>
          <w:szCs w:val="24"/>
        </w:rPr>
      </w:pPr>
      <w:r>
        <w:rPr>
          <w:rFonts w:ascii="Futura PT Book" w:hAnsi="Futura PT Book"/>
          <w:sz w:val="24"/>
          <w:szCs w:val="24"/>
        </w:rPr>
        <w:t xml:space="preserve">Avoid raising dust because it carries microorganisms. When cleaning, use a cloth thoroughly moistened with a disinfectant.</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numPr>
          <w:ilvl w:val="0"/>
          <w:numId w:val="27"/>
        </w:numPr>
        <w:pBdr/>
        <w:spacing w:after="0" w:line="276" w:lineRule="auto"/>
        <w:ind/>
        <w:rPr>
          <w:rFonts w:ascii="Futura PT Book" w:hAnsi="Futura PT Book"/>
          <w:sz w:val="24"/>
          <w:szCs w:val="24"/>
        </w:rPr>
      </w:pPr>
      <w:r>
        <w:rPr>
          <w:rFonts w:ascii="Futura PT Book" w:hAnsi="Futura PT Book"/>
          <w:sz w:val="24"/>
          <w:szCs w:val="24"/>
        </w:rPr>
        <w:t xml:space="preserve">The radiographic table or other imaging/treating equipment should be cleaned with a disposable disinfectant towelette or sprayed with disinfectant and wiped clean and dried from top to bottom with paper towels after each patient use.</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numPr>
          <w:ilvl w:val="0"/>
          <w:numId w:val="27"/>
        </w:numPr>
        <w:pBdr/>
        <w:spacing w:after="0" w:line="276" w:lineRule="auto"/>
        <w:ind/>
        <w:rPr>
          <w:rFonts w:ascii="Futura PT Book" w:hAnsi="Futura PT Book"/>
          <w:sz w:val="24"/>
          <w:szCs w:val="24"/>
        </w:rPr>
      </w:pPr>
      <w:r>
        <w:rPr>
          <w:rFonts w:ascii="Futura PT Book" w:hAnsi="Futura PT Book"/>
          <w:sz w:val="24"/>
          <w:szCs w:val="24"/>
        </w:rPr>
        <w:t xml:space="preserve">When cleaning an article such as an imaging table, start with the least soiled area and progress to the most soiled area. This prevents the cleaner areas from becoming more heavily contaminated.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numPr>
          <w:ilvl w:val="0"/>
          <w:numId w:val="27"/>
        </w:numPr>
        <w:pBdr/>
        <w:spacing w:after="0" w:line="276" w:lineRule="auto"/>
        <w:ind/>
        <w:rPr>
          <w:rFonts w:ascii="Futura PT Book" w:hAnsi="Futura PT Book"/>
          <w:sz w:val="24"/>
          <w:szCs w:val="24"/>
        </w:rPr>
      </w:pPr>
      <w:r>
        <w:rPr>
          <w:rFonts w:ascii="Futura PT Book" w:hAnsi="Futura PT Book"/>
          <w:sz w:val="24"/>
          <w:szCs w:val="24"/>
        </w:rPr>
        <w:t xml:space="preserve">Place dampened or wet items such as dressing and bandages into waterproof bags and close the bags tightly before discarding them to prevent workers handling these materials from </w:t>
      </w:r>
      <w:r>
        <w:rPr>
          <w:rFonts w:ascii="Futura PT Book" w:hAnsi="Futura PT Book"/>
          <w:sz w:val="24"/>
          <w:szCs w:val="24"/>
        </w:rPr>
        <w:t xml:space="preserve">coming in contact with</w:t>
      </w:r>
      <w:r>
        <w:rPr>
          <w:rFonts w:ascii="Futura PT Book" w:hAnsi="Futura PT Book"/>
          <w:sz w:val="24"/>
          <w:szCs w:val="24"/>
        </w:rPr>
        <w:t xml:space="preserve"> bodily discharges.</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numPr>
          <w:ilvl w:val="0"/>
          <w:numId w:val="27"/>
        </w:numPr>
        <w:pBdr/>
        <w:spacing w:after="0" w:line="276" w:lineRule="auto"/>
        <w:ind/>
        <w:rPr>
          <w:rFonts w:ascii="Futura PT Book" w:hAnsi="Futura PT Book"/>
          <w:sz w:val="24"/>
          <w:szCs w:val="24"/>
        </w:rPr>
      </w:pPr>
      <w:r>
        <w:rPr>
          <w:rFonts w:ascii="Futura PT Book" w:hAnsi="Futura PT Book"/>
          <w:sz w:val="24"/>
          <w:szCs w:val="24"/>
        </w:rPr>
        <w:t xml:space="preserve">Do not reuse rags or mops for cleaning until they have been properly disinfected and dried.</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numPr>
          <w:ilvl w:val="0"/>
          <w:numId w:val="27"/>
        </w:numPr>
        <w:pBdr/>
        <w:spacing w:after="0" w:line="276" w:lineRule="auto"/>
        <w:ind/>
        <w:rPr>
          <w:rFonts w:ascii="Futura PT Book" w:hAnsi="Futura PT Book"/>
          <w:sz w:val="24"/>
          <w:szCs w:val="24"/>
        </w:rPr>
      </w:pPr>
      <w:r>
        <w:rPr>
          <w:rFonts w:ascii="Futura PT Book" w:hAnsi="Futura PT Book"/>
          <w:sz w:val="24"/>
          <w:szCs w:val="24"/>
        </w:rPr>
        <w:t xml:space="preserve">Pour liquids to be discarded directly into drains or toilets. Avoid splashing or spilling them on clothing.</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numPr>
          <w:ilvl w:val="0"/>
          <w:numId w:val="27"/>
        </w:numPr>
        <w:pBdr/>
        <w:spacing w:after="0" w:line="276" w:lineRule="auto"/>
        <w:ind/>
        <w:rPr>
          <w:rFonts w:ascii="Futura PT Book" w:hAnsi="Futura PT Book"/>
          <w:sz w:val="24"/>
          <w:szCs w:val="24"/>
        </w:rPr>
      </w:pPr>
      <w:r>
        <w:rPr>
          <w:rFonts w:ascii="Futura PT Book" w:hAnsi="Futura PT Book"/>
          <w:sz w:val="24"/>
          <w:szCs w:val="24"/>
        </w:rPr>
        <w:t xml:space="preserve">If in doubt about the cleanliness or sterility of an item, do not use it.</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numPr>
          <w:ilvl w:val="0"/>
          <w:numId w:val="27"/>
        </w:numPr>
        <w:pBdr/>
        <w:spacing w:after="0" w:line="276" w:lineRule="auto"/>
        <w:ind/>
        <w:rPr>
          <w:rFonts w:ascii="Futura PT Book" w:hAnsi="Futura PT Book"/>
          <w:sz w:val="24"/>
          <w:szCs w:val="24"/>
        </w:rPr>
      </w:pPr>
      <w:r>
        <w:rPr>
          <w:rFonts w:ascii="Futura PT Book" w:hAnsi="Futura PT Book"/>
          <w:sz w:val="24"/>
          <w:szCs w:val="24"/>
        </w:rPr>
        <w:t xml:space="preserve">When an article that is known to be contaminated with virulent microorganisms is to be sent to a central supply area for cleaning and re-sterilizing, place it in a sealed, impermeable bag marked </w:t>
      </w:r>
      <w:r>
        <w:rPr>
          <w:rFonts w:ascii="Futura PT Book" w:hAnsi="Futura PT Book"/>
          <w:b/>
          <w:sz w:val="24"/>
          <w:szCs w:val="24"/>
        </w:rPr>
        <w:t xml:space="preserve">BIOHAZARD</w:t>
      </w:r>
      <w:r>
        <w:rPr>
          <w:rFonts w:ascii="Futura PT Book" w:hAnsi="Futura PT Book"/>
          <w:sz w:val="24"/>
          <w:szCs w:val="24"/>
        </w:rPr>
        <w:t xml:space="preserve">. If the outside of the bag becomes contaminated while the article is being placed in the bag, place a second bag over it.</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numPr>
          <w:ilvl w:val="0"/>
          <w:numId w:val="27"/>
        </w:numPr>
        <w:pBdr/>
        <w:spacing w:after="0" w:line="276" w:lineRule="auto"/>
        <w:ind/>
        <w:rPr>
          <w:rFonts w:ascii="Futura PT Book" w:hAnsi="Futura PT Book"/>
          <w:sz w:val="24"/>
          <w:szCs w:val="24"/>
        </w:rPr>
      </w:pPr>
      <w:r>
        <w:rPr>
          <w:rFonts w:ascii="Futura PT Book" w:hAnsi="Futura PT Book"/>
          <w:sz w:val="24"/>
          <w:szCs w:val="24"/>
        </w:rPr>
        <w:t xml:space="preserve">Always treat needles and syringes used in the DI department as if they are contaminated with virulent microbes. Do not re-cap needles after use.</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numPr>
          <w:ilvl w:val="0"/>
          <w:numId w:val="27"/>
        </w:numPr>
        <w:pBdr/>
        <w:spacing w:after="0" w:line="276" w:lineRule="auto"/>
        <w:ind/>
        <w:rPr>
          <w:rFonts w:ascii="Futura PT Book" w:hAnsi="Futura PT Book"/>
          <w:sz w:val="24"/>
          <w:szCs w:val="24"/>
        </w:rPr>
      </w:pPr>
      <w:r>
        <w:rPr>
          <w:rFonts w:ascii="Futura PT Book" w:hAnsi="Futura PT Book"/>
          <w:sz w:val="24"/>
          <w:szCs w:val="24"/>
        </w:rPr>
        <w:t xml:space="preserve">Place specimens to be sent to the laboratory in solid containers with secure caps. Avoid contaminating the outside of the container.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numPr>
          <w:ilvl w:val="0"/>
          <w:numId w:val="27"/>
        </w:numPr>
        <w:pBdr/>
        <w:spacing w:after="0" w:line="276" w:lineRule="auto"/>
        <w:ind/>
        <w:rPr>
          <w:rFonts w:ascii="Futura PT Book" w:hAnsi="Futura PT Book"/>
          <w:sz w:val="24"/>
          <w:szCs w:val="24"/>
        </w:rPr>
      </w:pPr>
      <w:r>
        <w:rPr>
          <w:rFonts w:ascii="Futura PT Book" w:hAnsi="Futura PT Book"/>
          <w:sz w:val="24"/>
          <w:szCs w:val="24"/>
        </w:rPr>
        <w:t xml:space="preserve">Medical records that accompany patients to the DI department must be kept away from patient care areas to prevent contamination.</w:t>
      </w:r>
      <w:r>
        <w:rPr>
          <w:rFonts w:ascii="Futura PT Book" w:hAnsi="Futura PT Book"/>
          <w:sz w:val="24"/>
          <w:szCs w:val="24"/>
        </w:rPr>
      </w:r>
    </w:p>
    <w:p>
      <w:pPr>
        <w:pBdr/>
        <w:spacing/>
        <w:ind/>
        <w:rPr>
          <w:rFonts w:ascii="Futura PT Book" w:hAnsi="Futura PT Book"/>
          <w:b/>
          <w:sz w:val="24"/>
          <w:szCs w:val="24"/>
        </w:rPr>
      </w:pPr>
      <w:r>
        <w:rPr>
          <w:rFonts w:ascii="Futura PT Book" w:hAnsi="Futura PT Book"/>
          <w:b/>
          <w:sz w:val="24"/>
          <w:szCs w:val="24"/>
        </w:rPr>
        <w:t xml:space="preserve">Reference</w:t>
      </w:r>
      <w:r>
        <w:rPr>
          <w:rFonts w:ascii="Futura PT Book" w:hAnsi="Futura PT Book"/>
          <w:b/>
          <w:sz w:val="24"/>
          <w:szCs w:val="24"/>
        </w:rPr>
      </w:r>
    </w:p>
    <w:p>
      <w:pPr>
        <w:pBdr/>
        <w:spacing/>
        <w:ind w:hanging="720" w:left="720"/>
        <w:rPr>
          <w:rFonts w:ascii="Futura PT Book" w:hAnsi="Futura PT Book"/>
          <w:sz w:val="24"/>
          <w:szCs w:val="24"/>
        </w:rPr>
      </w:pPr>
      <w:r>
        <w:rPr>
          <w:rFonts w:ascii="Futura PT Book" w:hAnsi="Futura PT Book"/>
          <w:sz w:val="24"/>
          <w:szCs w:val="24"/>
        </w:rPr>
        <w:t xml:space="preserve">Dutton, A.G., Linn-Watson, T.A., &amp; Torres, L.S. (2013). </w:t>
      </w:r>
      <w:r>
        <w:rPr>
          <w:rFonts w:ascii="Futura PT Book" w:hAnsi="Futura PT Book"/>
          <w:i/>
          <w:sz w:val="24"/>
          <w:szCs w:val="24"/>
        </w:rPr>
        <w:t xml:space="preserve">Torres’ patient care in imaging technology</w:t>
      </w:r>
      <w:r>
        <w:rPr>
          <w:rFonts w:ascii="Futura PT Book" w:hAnsi="Futura PT Book"/>
          <w:sz w:val="24"/>
          <w:szCs w:val="24"/>
        </w:rPr>
        <w:t xml:space="preserve"> (8th ed., pp.114–115). Baltimore, MD: Lippincott Williams &amp; Wilkins.</w:t>
      </w:r>
      <w:r>
        <w:rPr>
          <w:rFonts w:ascii="Futura PT Book" w:hAnsi="Futura PT Book"/>
          <w:sz w:val="24"/>
          <w:szCs w:val="24"/>
        </w:rPr>
      </w:r>
      <w:r>
        <w:rPr>
          <w:rFonts w:ascii="Futura PT Book" w:hAnsi="Futura PT Book"/>
          <w:b/>
          <w:sz w:val="24"/>
          <w:szCs w:val="24"/>
        </w:rPr>
      </w:r>
      <w:r>
        <w:rPr>
          <w:rFonts w:ascii="Futura PT Book" w:hAnsi="Futura PT Book"/>
          <w:b/>
          <w:sz w:val="24"/>
          <w:szCs w:val="24"/>
        </w:rPr>
      </w:r>
      <w:r>
        <w:rPr>
          <w:rFonts w:ascii="Futura PT Book" w:hAnsi="Futura PT Book"/>
          <w:sz w:val="24"/>
          <w:szCs w:val="24"/>
        </w:rPr>
      </w:r>
      <w:r>
        <w:rPr>
          <w:lang w:eastAsia="en-CA"/>
        </w:rPr>
      </w:r>
      <w:r>
        <w:rPr>
          <w:lang w:eastAsia="en-CA"/>
        </w:rPr>
      </w:r>
      <w:r>
        <w:rPr>
          <w:rFonts w:ascii="Futura PT Book" w:hAnsi="Futura PT Book"/>
          <w:sz w:val="24"/>
          <w:szCs w:val="24"/>
        </w:rPr>
      </w:r>
      <w:r>
        <w:rPr>
          <w:lang w:eastAsia="en-CA"/>
        </w:rPr>
      </w:r>
      <w:r>
        <w:rPr>
          <w:lang w:eastAsia="en-CA"/>
        </w:rPr>
      </w:r>
      <w:r>
        <w:rPr>
          <w:rFonts w:ascii="Futura PT Book" w:hAnsi="Futura PT Book"/>
          <w:sz w:val="24"/>
          <w:szCs w:val="24"/>
        </w:rPr>
      </w:r>
      <w:r>
        <w:rPr>
          <w:rFonts w:ascii="Futura PT Demi" w:hAnsi="Futura PT Demi" w:cs="Arial"/>
          <w:b/>
          <w:sz w:val="28"/>
          <w:szCs w:val="28"/>
        </w:rPr>
      </w:r>
      <w:r>
        <w:rPr>
          <w:rFonts w:ascii="Futura PT Demi" w:hAnsi="Futura PT Demi" w:cs="Arial"/>
          <w:b/>
          <w:sz w:val="28"/>
          <w:szCs w:val="28"/>
        </w:rPr>
      </w:r>
      <w:r>
        <w:rPr>
          <w:rFonts w:ascii="Futura PT Book" w:hAnsi="Futura PT Book"/>
          <w:sz w:val="24"/>
          <w:szCs w:val="24"/>
        </w:rPr>
      </w:r>
      <w:r>
        <w:rPr>
          <w:rFonts w:ascii="Futura PT Demi" w:hAnsi="Futura PT Demi" w:cs="Arial"/>
          <w:b/>
          <w:sz w:val="28"/>
          <w:szCs w:val="28"/>
        </w:rPr>
      </w:r>
      <w:r>
        <w:rPr>
          <w:rFonts w:ascii="Futura PT Demi" w:hAnsi="Futura PT Demi" w:cs="Arial"/>
          <w:b/>
          <w:sz w:val="28"/>
          <w:szCs w:val="28"/>
        </w:rPr>
      </w:r>
      <w:r>
        <w:rPr>
          <w:rFonts w:ascii="Futura PT Book" w:hAnsi="Futura PT Book"/>
          <w:sz w:val="24"/>
          <w:szCs w:val="24"/>
        </w:rPr>
      </w:r>
    </w:p>
    <w:sectPr>
      <w:headerReference w:type="default" r:id="rId9"/>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utura PT Book">
    <w:panose1 w:val="020B0603030804020204"/>
  </w:font>
  <w:font w:name="Symbol">
    <w:panose1 w:val="05010000000000000000"/>
  </w:font>
  <w:font w:name="Futura PT Demi">
    <w:panose1 w:val="020B0603030804020204"/>
  </w:font>
  <w:font w:name="Courier New">
    <w:panose1 w:val="02070309020205020404"/>
  </w:font>
  <w:font w:name="Wingdings">
    <w:panose1 w:val="05010000000000000000"/>
  </w:font>
  <w:font w:name="Arial MT">
    <w:panose1 w:val="020B0604020202020204"/>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Bdr/>
      <w:spacing/>
      <w:ind/>
      <w:rPr/>
    </w:pPr>
    <w:r>
      <w:rPr>
        <w:rFonts w:ascii="Arial" w:hAnsi="Arial" w:cs="Arial"/>
        <w:b/>
        <w:sz w:val="16"/>
        <w:szCs w:val="16"/>
        <w:lang w:eastAsia="en-CA"/>
      </w:rPr>
    </w:r>
    <w:r>
      <w:rPr>
        <w:lang w:val="en-US"/>
      </w:rPr>
      <mc:AlternateContent>
        <mc:Choice Requires="wpg">
          <w:drawing>
            <wp:inline xmlns:wp="http://schemas.openxmlformats.org/drawingml/2006/wordprocessingDrawing" distT="0" distB="0" distL="0" distR="0">
              <wp:extent cx="657860" cy="704850"/>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166979" name="Picture 1" descr="C:\Users\Fayyaz\Downloads\Eden-Brook-College-1.png"/>
                      <pic:cNvPicPr>
                        <a:picLocks noChangeAspect="1"/>
                      </pic:cNvPicPr>
                      <pic:nvPr/>
                    </pic:nvPicPr>
                    <pic:blipFill>
                      <a:blip r:embed="rId1"/>
                      <a:stretch/>
                    </pic:blipFill>
                    <pic:spPr bwMode="auto">
                      <a:xfrm rot="0" flipH="0" flipV="0">
                        <a:off x="0" y="0"/>
                        <a:ext cx="657859" cy="704849"/>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1.80pt;height:55.50pt;mso-wrap-distance-left:0.00pt;mso-wrap-distance-top:0.00pt;mso-wrap-distance-right:0.00pt;mso-wrap-distance-bottom:0.00pt;rotation:0;z-index:1;" stroked="f">
              <v:imagedata r:id="rId1" o:title=""/>
              <o:lock v:ext="edit" rotation="t"/>
            </v:shape>
          </w:pict>
        </mc:Fallback>
      </mc:AlternateContent>
    </w:r>
    <w:r/>
    <w:r>
      <w:rPr>
        <w:rFonts w:ascii="Arial" w:hAnsi="Arial" w:cs="Arial"/>
        <w:b/>
        <w:sz w:val="16"/>
        <w:szCs w:val="16"/>
        <w:lang w:eastAsia="en-C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7620</wp:posOffset>
              </wp:positionH>
              <wp:positionV relativeFrom="page">
                <wp:posOffset>6985</wp:posOffset>
              </wp:positionV>
              <wp:extent cx="188595" cy="10264775"/>
              <wp:effectExtent l="0" t="0" r="1905" b="317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875676" name="Picture 3"/>
                      <pic:cNvPicPr>
                        <a:picLocks noChangeAspect="1"/>
                      </pic:cNvPicPr>
                      <pic:nvPr/>
                    </pic:nvPicPr>
                    <pic:blipFill>
                      <a:blip r:embed="rId2"/>
                      <a:stretch/>
                    </pic:blipFill>
                    <pic:spPr bwMode="auto">
                      <a:xfrm>
                        <a:off x="0" y="0"/>
                        <a:ext cx="188594" cy="10264774"/>
                      </a:xfrm>
                      <a:prstGeom prst="rect">
                        <a:avLst/>
                      </a:prstGeom>
                    </pic:spPr>
                  </pic:pic>
                </a:graphicData>
              </a:graphic>
              <wp14:sizeRelH relativeFrom="margin">
                <wp14:pctWidth>0</wp14:pctWidth>
              </wp14:sizeRelH>
              <wp14:sizeRelV relativeFrom="margin">
                <wp14:pctHeight>0</wp14:pctHeight>
              </wp14:sizeRelV>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position:absolute;z-index:-251659264;o:allowoverlap:true;o:allowincell:true;mso-position-horizontal-relative:page;margin-left:0.60pt;mso-position-horizontal:absolute;mso-position-vertical-relative:page;margin-top:0.55pt;mso-position-vertical:absolute;width:14.85pt;height:808.25pt;mso-wrap-distance-left:9.00pt;mso-wrap-distance-top:0.00pt;mso-wrap-distance-right:9.00pt;mso-wrap-distance-bottom:0.00pt;z-index:1;" stroked="false">
              <v:imagedata r:id="rId2" o:title=""/>
              <o:lock v:ext="edit" rotation="t"/>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2">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3">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23"/>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Courier New" w:hAnsi="Courier New" w:eastAsia="Courier New" w:cs="Courier New"/>
        <w:b w:val="0"/>
        <w:i w:val="0"/>
        <w:strike w:val="0"/>
        <w:color w:val="000000"/>
        <w:sz w:val="28"/>
        <w:szCs w:val="28"/>
        <w:u w:val="none"/>
        <w:shd w:val="clear" w:color="auto" w:fill="auto"/>
        <w:vertAlign w:val="baseline"/>
      </w:rPr>
      <w:start w:val="1"/>
      <w:suff w:val="tab"/>
    </w:lvl>
  </w:abstractNum>
  <w:abstractNum w:abstractNumId="4">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5">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6">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7">
    <w:lvl w:ilvl="0">
      <w:isLgl w:val="false"/>
      <w:lvlJc w:val="left"/>
      <w:lvlText w:val="%1."/>
      <w:numFmt w:val="decimal"/>
      <w:pPr>
        <w:pBdr/>
        <w:spacing/>
        <w:ind w:hanging="374" w:left="850"/>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74" w:left="1734"/>
      </w:pPr>
      <w:rPr>
        <w:rFonts w:hint="default"/>
        <w:lang w:val="en-US" w:eastAsia="en-US" w:bidi="ar-SA"/>
      </w:rPr>
      <w:start w:val="0"/>
      <w:suff w:val="tab"/>
    </w:lvl>
    <w:lvl w:ilvl="2">
      <w:isLgl w:val="false"/>
      <w:lvlJc w:val="left"/>
      <w:lvlText w:val="•"/>
      <w:numFmt w:val="bullet"/>
      <w:pPr>
        <w:pBdr/>
        <w:spacing/>
        <w:ind w:hanging="374" w:left="2608"/>
      </w:pPr>
      <w:rPr>
        <w:rFonts w:hint="default"/>
        <w:lang w:val="en-US" w:eastAsia="en-US" w:bidi="ar-SA"/>
      </w:rPr>
      <w:start w:val="0"/>
      <w:suff w:val="tab"/>
    </w:lvl>
    <w:lvl w:ilvl="3">
      <w:isLgl w:val="false"/>
      <w:lvlJc w:val="left"/>
      <w:lvlText w:val="•"/>
      <w:numFmt w:val="bullet"/>
      <w:pPr>
        <w:pBdr/>
        <w:spacing/>
        <w:ind w:hanging="374" w:left="3482"/>
      </w:pPr>
      <w:rPr>
        <w:rFonts w:hint="default"/>
        <w:lang w:val="en-US" w:eastAsia="en-US" w:bidi="ar-SA"/>
      </w:rPr>
      <w:start w:val="0"/>
      <w:suff w:val="tab"/>
    </w:lvl>
    <w:lvl w:ilvl="4">
      <w:isLgl w:val="false"/>
      <w:lvlJc w:val="left"/>
      <w:lvlText w:val="•"/>
      <w:numFmt w:val="bullet"/>
      <w:pPr>
        <w:pBdr/>
        <w:spacing/>
        <w:ind w:hanging="374" w:left="4356"/>
      </w:pPr>
      <w:rPr>
        <w:rFonts w:hint="default"/>
        <w:lang w:val="en-US" w:eastAsia="en-US" w:bidi="ar-SA"/>
      </w:rPr>
      <w:start w:val="0"/>
      <w:suff w:val="tab"/>
    </w:lvl>
    <w:lvl w:ilvl="5">
      <w:isLgl w:val="false"/>
      <w:lvlJc w:val="left"/>
      <w:lvlText w:val="•"/>
      <w:numFmt w:val="bullet"/>
      <w:pPr>
        <w:pBdr/>
        <w:spacing/>
        <w:ind w:hanging="374" w:left="5230"/>
      </w:pPr>
      <w:rPr>
        <w:rFonts w:hint="default"/>
        <w:lang w:val="en-US" w:eastAsia="en-US" w:bidi="ar-SA"/>
      </w:rPr>
      <w:start w:val="0"/>
      <w:suff w:val="tab"/>
    </w:lvl>
    <w:lvl w:ilvl="6">
      <w:isLgl w:val="false"/>
      <w:lvlJc w:val="left"/>
      <w:lvlText w:val="•"/>
      <w:numFmt w:val="bullet"/>
      <w:pPr>
        <w:pBdr/>
        <w:spacing/>
        <w:ind w:hanging="374" w:left="6104"/>
      </w:pPr>
      <w:rPr>
        <w:rFonts w:hint="default"/>
        <w:lang w:val="en-US" w:eastAsia="en-US" w:bidi="ar-SA"/>
      </w:rPr>
      <w:start w:val="0"/>
      <w:suff w:val="tab"/>
    </w:lvl>
    <w:lvl w:ilvl="7">
      <w:isLgl w:val="false"/>
      <w:lvlJc w:val="left"/>
      <w:lvlText w:val="•"/>
      <w:numFmt w:val="bullet"/>
      <w:pPr>
        <w:pBdr/>
        <w:spacing/>
        <w:ind w:hanging="374" w:left="6978"/>
      </w:pPr>
      <w:rPr>
        <w:rFonts w:hint="default"/>
        <w:lang w:val="en-US" w:eastAsia="en-US" w:bidi="ar-SA"/>
      </w:rPr>
      <w:start w:val="0"/>
      <w:suff w:val="tab"/>
    </w:lvl>
    <w:lvl w:ilvl="8">
      <w:isLgl w:val="false"/>
      <w:lvlJc w:val="left"/>
      <w:lvlText w:val="•"/>
      <w:numFmt w:val="bullet"/>
      <w:pPr>
        <w:pBdr/>
        <w:spacing/>
        <w:ind w:hanging="374" w:left="7852"/>
      </w:pPr>
      <w:rPr>
        <w:rFonts w:hint="default"/>
        <w:lang w:val="en-US" w:eastAsia="en-US" w:bidi="ar-SA"/>
      </w:rPr>
      <w:start w:val="0"/>
      <w:suff w:val="tab"/>
    </w:lvl>
  </w:abstractNum>
  <w:abstractNum w:abstractNumId="8">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9">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0">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1">
    <w:lvl w:ilvl="0">
      <w:isLgl w:val="false"/>
      <w:lvlJc w:val="left"/>
      <w:lvlText w:val=""/>
      <w:numFmt w:val="bullet"/>
      <w:pPr>
        <w:pBdr/>
        <w:spacing/>
        <w:ind w:hanging="360" w:left="820"/>
      </w:pPr>
      <w:rPr>
        <w:rFonts w:hint="default" w:ascii="Symbol" w:hAnsi="Symbol" w:eastAsia="Symbol" w:cs="Symbol"/>
        <w:sz w:val="22"/>
        <w:szCs w:val="22"/>
        <w:lang w:val="en-US" w:eastAsia="en-US" w:bidi="ar-SA"/>
      </w:rPr>
      <w:start w:val="0"/>
      <w:suff w:val="tab"/>
    </w:lvl>
    <w:lvl w:ilvl="1">
      <w:isLgl w:val="false"/>
      <w:lvlJc w:val="left"/>
      <w:lvlText w:val="•"/>
      <w:numFmt w:val="bullet"/>
      <w:pPr>
        <w:pBdr/>
        <w:spacing/>
        <w:ind w:hanging="360" w:left="1696"/>
      </w:pPr>
      <w:rPr>
        <w:rFonts w:hint="default"/>
        <w:lang w:val="en-US" w:eastAsia="en-US" w:bidi="ar-SA"/>
      </w:rPr>
      <w:start w:val="0"/>
      <w:suff w:val="tab"/>
    </w:lvl>
    <w:lvl w:ilvl="2">
      <w:isLgl w:val="false"/>
      <w:lvlJc w:val="left"/>
      <w:lvlText w:val="•"/>
      <w:numFmt w:val="bullet"/>
      <w:pPr>
        <w:pBdr/>
        <w:spacing/>
        <w:ind w:hanging="360" w:left="2572"/>
      </w:pPr>
      <w:rPr>
        <w:rFonts w:hint="default"/>
        <w:lang w:val="en-US" w:eastAsia="en-US" w:bidi="ar-SA"/>
      </w:rPr>
      <w:start w:val="0"/>
      <w:suff w:val="tab"/>
    </w:lvl>
    <w:lvl w:ilvl="3">
      <w:isLgl w:val="false"/>
      <w:lvlJc w:val="left"/>
      <w:lvlText w:val="•"/>
      <w:numFmt w:val="bullet"/>
      <w:pPr>
        <w:pBdr/>
        <w:spacing/>
        <w:ind w:hanging="360" w:left="3448"/>
      </w:pPr>
      <w:rPr>
        <w:rFonts w:hint="default"/>
        <w:lang w:val="en-US" w:eastAsia="en-US" w:bidi="ar-SA"/>
      </w:rPr>
      <w:start w:val="0"/>
      <w:suff w:val="tab"/>
    </w:lvl>
    <w:lvl w:ilvl="4">
      <w:isLgl w:val="false"/>
      <w:lvlJc w:val="left"/>
      <w:lvlText w:val="•"/>
      <w:numFmt w:val="bullet"/>
      <w:pPr>
        <w:pBdr/>
        <w:spacing/>
        <w:ind w:hanging="360" w:left="4324"/>
      </w:pPr>
      <w:rPr>
        <w:rFonts w:hint="default"/>
        <w:lang w:val="en-US" w:eastAsia="en-US" w:bidi="ar-SA"/>
      </w:rPr>
      <w:start w:val="0"/>
      <w:suff w:val="tab"/>
    </w:lvl>
    <w:lvl w:ilvl="5">
      <w:isLgl w:val="false"/>
      <w:lvlJc w:val="left"/>
      <w:lvlText w:val="•"/>
      <w:numFmt w:val="bullet"/>
      <w:pPr>
        <w:pBdr/>
        <w:spacing/>
        <w:ind w:hanging="360" w:left="5200"/>
      </w:pPr>
      <w:rPr>
        <w:rFonts w:hint="default"/>
        <w:lang w:val="en-US" w:eastAsia="en-US" w:bidi="ar-SA"/>
      </w:rPr>
      <w:start w:val="0"/>
      <w:suff w:val="tab"/>
    </w:lvl>
    <w:lvl w:ilvl="6">
      <w:isLgl w:val="false"/>
      <w:lvlJc w:val="left"/>
      <w:lvlText w:val="•"/>
      <w:numFmt w:val="bullet"/>
      <w:pPr>
        <w:pBdr/>
        <w:spacing/>
        <w:ind w:hanging="360" w:left="6076"/>
      </w:pPr>
      <w:rPr>
        <w:rFonts w:hint="default"/>
        <w:lang w:val="en-US" w:eastAsia="en-US" w:bidi="ar-SA"/>
      </w:rPr>
      <w:start w:val="0"/>
      <w:suff w:val="tab"/>
    </w:lvl>
    <w:lvl w:ilvl="7">
      <w:isLgl w:val="false"/>
      <w:lvlJc w:val="left"/>
      <w:lvlText w:val="•"/>
      <w:numFmt w:val="bullet"/>
      <w:pPr>
        <w:pBdr/>
        <w:spacing/>
        <w:ind w:hanging="360" w:left="6952"/>
      </w:pPr>
      <w:rPr>
        <w:rFonts w:hint="default"/>
        <w:lang w:val="en-US" w:eastAsia="en-US" w:bidi="ar-SA"/>
      </w:rPr>
      <w:start w:val="0"/>
      <w:suff w:val="tab"/>
    </w:lvl>
    <w:lvl w:ilvl="8">
      <w:isLgl w:val="false"/>
      <w:lvlJc w:val="left"/>
      <w:lvlText w:val="•"/>
      <w:numFmt w:val="bullet"/>
      <w:pPr>
        <w:pBdr/>
        <w:spacing/>
        <w:ind w:hanging="360" w:left="7828"/>
      </w:pPr>
      <w:rPr>
        <w:rFonts w:hint="default"/>
        <w:lang w:val="en-US" w:eastAsia="en-US" w:bidi="ar-SA"/>
      </w:rPr>
      <w:start w:val="0"/>
      <w:suff w:val="tab"/>
    </w:lvl>
  </w:abstractNum>
  <w:abstractNum w:abstractNumId="12">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3">
    <w:lvl w:ilvl="0">
      <w:isLgl w:val="false"/>
      <w:lvlJc w:val="left"/>
      <w:lvlText w:val="o"/>
      <w:numFmt w:val="bullet"/>
      <w:pPr>
        <w:pBdr/>
        <w:spacing/>
        <w:ind w:hanging="360" w:left="720"/>
      </w:pPr>
      <w:rPr>
        <w:rFonts w:hint="default" w:ascii="Courier New" w:hAnsi="Courier New" w:cs="Courier New"/>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4">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5">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6">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7">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8">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9">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0">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21">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22">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23">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4">
    <w:lvl w:ilvl="0">
      <w:isLgl w:val="false"/>
      <w:lvlJc w:val="left"/>
      <w:lvlText w:val="%1."/>
      <w:numFmt w:val="decimal"/>
      <w:pPr>
        <w:pBdr/>
        <w:spacing/>
        <w:ind w:hanging="358" w:left="833"/>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58" w:left="1716"/>
      </w:pPr>
      <w:rPr>
        <w:rFonts w:hint="default"/>
        <w:lang w:val="en-US" w:eastAsia="en-US" w:bidi="ar-SA"/>
      </w:rPr>
      <w:start w:val="0"/>
      <w:suff w:val="tab"/>
    </w:lvl>
    <w:lvl w:ilvl="2">
      <w:isLgl w:val="false"/>
      <w:lvlJc w:val="left"/>
      <w:lvlText w:val="•"/>
      <w:numFmt w:val="bullet"/>
      <w:pPr>
        <w:pBdr/>
        <w:spacing/>
        <w:ind w:hanging="358" w:left="2592"/>
      </w:pPr>
      <w:rPr>
        <w:rFonts w:hint="default"/>
        <w:lang w:val="en-US" w:eastAsia="en-US" w:bidi="ar-SA"/>
      </w:rPr>
      <w:start w:val="0"/>
      <w:suff w:val="tab"/>
    </w:lvl>
    <w:lvl w:ilvl="3">
      <w:isLgl w:val="false"/>
      <w:lvlJc w:val="left"/>
      <w:lvlText w:val="•"/>
      <w:numFmt w:val="bullet"/>
      <w:pPr>
        <w:pBdr/>
        <w:spacing/>
        <w:ind w:hanging="358" w:left="3468"/>
      </w:pPr>
      <w:rPr>
        <w:rFonts w:hint="default"/>
        <w:lang w:val="en-US" w:eastAsia="en-US" w:bidi="ar-SA"/>
      </w:rPr>
      <w:start w:val="0"/>
      <w:suff w:val="tab"/>
    </w:lvl>
    <w:lvl w:ilvl="4">
      <w:isLgl w:val="false"/>
      <w:lvlJc w:val="left"/>
      <w:lvlText w:val="•"/>
      <w:numFmt w:val="bullet"/>
      <w:pPr>
        <w:pBdr/>
        <w:spacing/>
        <w:ind w:hanging="358" w:left="4344"/>
      </w:pPr>
      <w:rPr>
        <w:rFonts w:hint="default"/>
        <w:lang w:val="en-US" w:eastAsia="en-US" w:bidi="ar-SA"/>
      </w:rPr>
      <w:start w:val="0"/>
      <w:suff w:val="tab"/>
    </w:lvl>
    <w:lvl w:ilvl="5">
      <w:isLgl w:val="false"/>
      <w:lvlJc w:val="left"/>
      <w:lvlText w:val="•"/>
      <w:numFmt w:val="bullet"/>
      <w:pPr>
        <w:pBdr/>
        <w:spacing/>
        <w:ind w:hanging="358" w:left="5220"/>
      </w:pPr>
      <w:rPr>
        <w:rFonts w:hint="default"/>
        <w:lang w:val="en-US" w:eastAsia="en-US" w:bidi="ar-SA"/>
      </w:rPr>
      <w:start w:val="0"/>
      <w:suff w:val="tab"/>
    </w:lvl>
    <w:lvl w:ilvl="6">
      <w:isLgl w:val="false"/>
      <w:lvlJc w:val="left"/>
      <w:lvlText w:val="•"/>
      <w:numFmt w:val="bullet"/>
      <w:pPr>
        <w:pBdr/>
        <w:spacing/>
        <w:ind w:hanging="358" w:left="6096"/>
      </w:pPr>
      <w:rPr>
        <w:rFonts w:hint="default"/>
        <w:lang w:val="en-US" w:eastAsia="en-US" w:bidi="ar-SA"/>
      </w:rPr>
      <w:start w:val="0"/>
      <w:suff w:val="tab"/>
    </w:lvl>
    <w:lvl w:ilvl="7">
      <w:isLgl w:val="false"/>
      <w:lvlJc w:val="left"/>
      <w:lvlText w:val="•"/>
      <w:numFmt w:val="bullet"/>
      <w:pPr>
        <w:pBdr/>
        <w:spacing/>
        <w:ind w:hanging="358" w:left="6972"/>
      </w:pPr>
      <w:rPr>
        <w:rFonts w:hint="default"/>
        <w:lang w:val="en-US" w:eastAsia="en-US" w:bidi="ar-SA"/>
      </w:rPr>
      <w:start w:val="0"/>
      <w:suff w:val="tab"/>
    </w:lvl>
    <w:lvl w:ilvl="8">
      <w:isLgl w:val="false"/>
      <w:lvlJc w:val="left"/>
      <w:lvlText w:val="•"/>
      <w:numFmt w:val="bullet"/>
      <w:pPr>
        <w:pBdr/>
        <w:spacing/>
        <w:ind w:hanging="358" w:left="7848"/>
      </w:pPr>
      <w:rPr>
        <w:rFonts w:hint="default"/>
        <w:lang w:val="en-US" w:eastAsia="en-US" w:bidi="ar-SA"/>
      </w:rPr>
      <w:start w:val="0"/>
      <w:suff w:val="tab"/>
    </w:lvl>
  </w:abstractNum>
  <w:abstractNum w:abstractNumId="25">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26">
    <w:lvl w:ilvl="0">
      <w:isLgl w:val="false"/>
      <w:lvlJc w:val="left"/>
      <w:lvlText w:val="%1."/>
      <w:numFmt w:val="decimal"/>
      <w:pPr>
        <w:pBdr/>
        <w:spacing/>
        <w:ind w:hanging="360" w:left="839"/>
        <w:jc w:val="left"/>
      </w:pPr>
      <w:rPr>
        <w:rFonts w:hint="default"/>
        <w:b w:val="0"/>
        <w:bCs/>
        <w:lang w:val="en-US" w:eastAsia="en-US" w:bidi="ar-SA"/>
      </w:rPr>
      <w:start w:val="1"/>
      <w:suff w:val="tab"/>
    </w:lvl>
    <w:lvl w:ilvl="1">
      <w:isLgl w:val="false"/>
      <w:lvlJc w:val="left"/>
      <w:lvlText w:val="-"/>
      <w:numFmt w:val="bullet"/>
      <w:pPr>
        <w:pBdr/>
        <w:spacing/>
        <w:ind w:hanging="360" w:left="1199"/>
      </w:pPr>
      <w:rPr>
        <w:rFonts w:hint="default" w:ascii="Arial MT" w:hAnsi="Arial MT" w:eastAsia="Arial MT" w:cs="Arial MT"/>
        <w:sz w:val="20"/>
        <w:szCs w:val="20"/>
        <w:lang w:val="en-US" w:eastAsia="en-US" w:bidi="ar-SA"/>
      </w:rPr>
      <w:start w:val="0"/>
      <w:suff w:val="tab"/>
    </w:lvl>
    <w:lvl w:ilvl="2">
      <w:isLgl w:val="false"/>
      <w:lvlJc w:val="left"/>
      <w:lvlText w:val="•"/>
      <w:numFmt w:val="bullet"/>
      <w:pPr>
        <w:pBdr/>
        <w:spacing/>
        <w:ind w:hanging="360" w:left="2133"/>
      </w:pPr>
      <w:rPr>
        <w:rFonts w:hint="default"/>
        <w:lang w:val="en-US" w:eastAsia="en-US" w:bidi="ar-SA"/>
      </w:rPr>
      <w:start w:val="0"/>
      <w:suff w:val="tab"/>
    </w:lvl>
    <w:lvl w:ilvl="3">
      <w:isLgl w:val="false"/>
      <w:lvlJc w:val="left"/>
      <w:lvlText w:val="•"/>
      <w:numFmt w:val="bullet"/>
      <w:pPr>
        <w:pBdr/>
        <w:spacing/>
        <w:ind w:hanging="360" w:left="3066"/>
      </w:pPr>
      <w:rPr>
        <w:rFonts w:hint="default"/>
        <w:lang w:val="en-US" w:eastAsia="en-US" w:bidi="ar-SA"/>
      </w:rPr>
      <w:start w:val="0"/>
      <w:suff w:val="tab"/>
    </w:lvl>
    <w:lvl w:ilvl="4">
      <w:isLgl w:val="false"/>
      <w:lvlJc w:val="left"/>
      <w:lvlText w:val="•"/>
      <w:numFmt w:val="bullet"/>
      <w:pPr>
        <w:pBdr/>
        <w:spacing/>
        <w:ind w:hanging="360" w:left="4000"/>
      </w:pPr>
      <w:rPr>
        <w:rFonts w:hint="default"/>
        <w:lang w:val="en-US" w:eastAsia="en-US" w:bidi="ar-SA"/>
      </w:rPr>
      <w:start w:val="0"/>
      <w:suff w:val="tab"/>
    </w:lvl>
    <w:lvl w:ilvl="5">
      <w:isLgl w:val="false"/>
      <w:lvlJc w:val="left"/>
      <w:lvlText w:val="•"/>
      <w:numFmt w:val="bullet"/>
      <w:pPr>
        <w:pBdr/>
        <w:spacing/>
        <w:ind w:hanging="360" w:left="4933"/>
      </w:pPr>
      <w:rPr>
        <w:rFonts w:hint="default"/>
        <w:lang w:val="en-US" w:eastAsia="en-US" w:bidi="ar-SA"/>
      </w:rPr>
      <w:start w:val="0"/>
      <w:suff w:val="tab"/>
    </w:lvl>
    <w:lvl w:ilvl="6">
      <w:isLgl w:val="false"/>
      <w:lvlJc w:val="left"/>
      <w:lvlText w:val="•"/>
      <w:numFmt w:val="bullet"/>
      <w:pPr>
        <w:pBdr/>
        <w:spacing/>
        <w:ind w:hanging="360" w:left="5866"/>
      </w:pPr>
      <w:rPr>
        <w:rFonts w:hint="default"/>
        <w:lang w:val="en-US" w:eastAsia="en-US" w:bidi="ar-SA"/>
      </w:rPr>
      <w:start w:val="0"/>
      <w:suff w:val="tab"/>
    </w:lvl>
    <w:lvl w:ilvl="7">
      <w:isLgl w:val="false"/>
      <w:lvlJc w:val="left"/>
      <w:lvlText w:val="•"/>
      <w:numFmt w:val="bullet"/>
      <w:pPr>
        <w:pBdr/>
        <w:spacing/>
        <w:ind w:hanging="360" w:left="6800"/>
      </w:pPr>
      <w:rPr>
        <w:rFonts w:hint="default"/>
        <w:lang w:val="en-US" w:eastAsia="en-US" w:bidi="ar-SA"/>
      </w:rPr>
      <w:start w:val="0"/>
      <w:suff w:val="tab"/>
    </w:lvl>
    <w:lvl w:ilvl="8">
      <w:isLgl w:val="false"/>
      <w:lvlJc w:val="left"/>
      <w:lvlText w:val="•"/>
      <w:numFmt w:val="bullet"/>
      <w:pPr>
        <w:pBdr/>
        <w:spacing/>
        <w:ind w:hanging="360" w:left="7733"/>
      </w:pPr>
      <w:rPr>
        <w:rFonts w:hint="default"/>
        <w:lang w:val="en-US" w:eastAsia="en-US" w:bidi="ar-SA"/>
      </w:rPr>
      <w:start w:val="0"/>
      <w:suff w:val="tab"/>
    </w:lvl>
  </w:abstractNum>
  <w:num w:numId="1">
    <w:abstractNumId w:val="14"/>
  </w:num>
  <w:num w:numId="2">
    <w:abstractNumId w:val="7"/>
  </w:num>
  <w:num w:numId="3">
    <w:abstractNumId w:val="25"/>
  </w:num>
  <w:num w:numId="4">
    <w:abstractNumId w:val="2"/>
  </w:num>
  <w:num w:numId="5">
    <w:abstractNumId w:val="4"/>
  </w:num>
  <w:num w:numId="6">
    <w:abstractNumId w:val="16"/>
  </w:num>
  <w:num w:numId="7">
    <w:abstractNumId w:val="26"/>
  </w:num>
  <w:num w:numId="8">
    <w:abstractNumId w:val="24"/>
  </w:num>
  <w:num w:numId="9">
    <w:abstractNumId w:val="15"/>
  </w:num>
  <w:num w:numId="10">
    <w:abstractNumId w:val="0"/>
  </w:num>
  <w:num w:numId="11">
    <w:abstractNumId w:val="1"/>
  </w:num>
  <w:num w:numId="12">
    <w:abstractNumId w:val="6"/>
  </w:num>
  <w:num w:numId="13">
    <w:abstractNumId w:val="20"/>
  </w:num>
  <w:num w:numId="14">
    <w:abstractNumId w:val="19"/>
  </w:num>
  <w:num w:numId="15">
    <w:abstractNumId w:val="8"/>
  </w:num>
  <w:num w:numId="16">
    <w:abstractNumId w:val="3"/>
  </w:num>
  <w:num w:numId="17">
    <w:abstractNumId w:val="12"/>
  </w:num>
  <w:num w:numId="18">
    <w:abstractNumId w:val="17"/>
  </w:num>
  <w:num w:numId="19">
    <w:abstractNumId w:val="21"/>
  </w:num>
  <w:num w:numId="20">
    <w:abstractNumId w:val="18"/>
  </w:num>
  <w:num w:numId="21">
    <w:abstractNumId w:val="22"/>
  </w:num>
  <w:num w:numId="22">
    <w:abstractNumId w:val="9"/>
  </w:num>
  <w:num w:numId="23">
    <w:abstractNumId w:val="13"/>
  </w:num>
  <w:num w:numId="24">
    <w:abstractNumId w:val="5"/>
  </w:num>
  <w:num w:numId="25">
    <w:abstractNumId w:val="23"/>
  </w:num>
  <w:num w:numId="26">
    <w:abstractNumId w:val="11"/>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7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7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76"/>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7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7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7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76"/>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7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7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7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7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7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7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7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7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7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7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7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7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7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7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7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7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7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7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7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7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76"/>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76"/>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76"/>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76"/>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76"/>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76"/>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7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76"/>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76"/>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7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76"/>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7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76"/>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7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76"/>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76"/>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76"/>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76"/>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76"/>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76"/>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7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76"/>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76"/>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76"/>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76"/>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76"/>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76"/>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7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7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76"/>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7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76"/>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7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76"/>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7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7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76"/>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76"/>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76"/>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76"/>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76"/>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7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76"/>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76"/>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76"/>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76"/>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76"/>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76"/>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7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76"/>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76"/>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76"/>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76"/>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76"/>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76"/>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7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76"/>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76"/>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776"/>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76"/>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76"/>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76"/>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77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76"/>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76"/>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76"/>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76"/>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76"/>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76"/>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7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76"/>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7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7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7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7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7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7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771"/>
    <w:next w:val="771"/>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771"/>
    <w:next w:val="771"/>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771"/>
    <w:next w:val="771"/>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71"/>
    <w:next w:val="771"/>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71"/>
    <w:next w:val="771"/>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71"/>
    <w:next w:val="771"/>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775"/>
    <w:link w:val="141"/>
    <w:uiPriority w:val="9"/>
    <w:pPr>
      <w:pBdr/>
      <w:spacing/>
      <w:ind/>
    </w:pPr>
    <w:rPr>
      <w:rFonts w:ascii="Arial" w:hAnsi="Arial" w:eastAsia="Arial" w:cs="Arial"/>
      <w:i/>
      <w:iCs/>
      <w:color w:val="0f4761" w:themeColor="accent1" w:themeShade="BF"/>
    </w:rPr>
  </w:style>
  <w:style w:type="character" w:styleId="153">
    <w:name w:val="Heading 5 Char"/>
    <w:basedOn w:val="775"/>
    <w:link w:val="142"/>
    <w:uiPriority w:val="9"/>
    <w:pPr>
      <w:pBdr/>
      <w:spacing/>
      <w:ind/>
    </w:pPr>
    <w:rPr>
      <w:rFonts w:ascii="Arial" w:hAnsi="Arial" w:eastAsia="Arial" w:cs="Arial"/>
      <w:color w:val="0f4761" w:themeColor="accent1" w:themeShade="BF"/>
    </w:rPr>
  </w:style>
  <w:style w:type="character" w:styleId="154">
    <w:name w:val="Heading 6 Char"/>
    <w:basedOn w:val="775"/>
    <w:link w:val="143"/>
    <w:uiPriority w:val="9"/>
    <w:pPr>
      <w:pBdr/>
      <w:spacing/>
      <w:ind/>
    </w:pPr>
    <w:rPr>
      <w:rFonts w:ascii="Arial" w:hAnsi="Arial" w:eastAsia="Arial" w:cs="Arial"/>
      <w:i/>
      <w:iCs/>
      <w:color w:val="595959" w:themeColor="text1" w:themeTint="A6"/>
    </w:rPr>
  </w:style>
  <w:style w:type="character" w:styleId="155">
    <w:name w:val="Heading 7 Char"/>
    <w:basedOn w:val="775"/>
    <w:link w:val="144"/>
    <w:uiPriority w:val="9"/>
    <w:pPr>
      <w:pBdr/>
      <w:spacing/>
      <w:ind/>
    </w:pPr>
    <w:rPr>
      <w:rFonts w:ascii="Arial" w:hAnsi="Arial" w:eastAsia="Arial" w:cs="Arial"/>
      <w:color w:val="595959" w:themeColor="text1" w:themeTint="A6"/>
    </w:rPr>
  </w:style>
  <w:style w:type="character" w:styleId="156">
    <w:name w:val="Heading 8 Char"/>
    <w:basedOn w:val="775"/>
    <w:link w:val="145"/>
    <w:uiPriority w:val="9"/>
    <w:pPr>
      <w:pBdr/>
      <w:spacing/>
      <w:ind/>
    </w:pPr>
    <w:rPr>
      <w:rFonts w:ascii="Arial" w:hAnsi="Arial" w:eastAsia="Arial" w:cs="Arial"/>
      <w:i/>
      <w:iCs/>
      <w:color w:val="272727" w:themeColor="text1" w:themeTint="D8"/>
    </w:rPr>
  </w:style>
  <w:style w:type="character" w:styleId="157">
    <w:name w:val="Heading 9 Char"/>
    <w:basedOn w:val="775"/>
    <w:link w:val="146"/>
    <w:uiPriority w:val="9"/>
    <w:pPr>
      <w:pBdr/>
      <w:spacing/>
      <w:ind/>
    </w:pPr>
    <w:rPr>
      <w:rFonts w:ascii="Arial" w:hAnsi="Arial" w:eastAsia="Arial" w:cs="Arial"/>
      <w:i/>
      <w:iCs/>
      <w:color w:val="272727" w:themeColor="text1" w:themeTint="D8"/>
    </w:rPr>
  </w:style>
  <w:style w:type="paragraph" w:styleId="160">
    <w:name w:val="Subtitle"/>
    <w:basedOn w:val="771"/>
    <w:next w:val="771"/>
    <w:link w:val="161"/>
    <w:uiPriority w:val="11"/>
    <w:qFormat/>
    <w:pPr>
      <w:numPr>
        <w:ilvl w:val="1"/>
      </w:numPr>
      <w:pBdr/>
      <w:spacing/>
      <w:ind/>
    </w:pPr>
    <w:rPr>
      <w:color w:val="595959" w:themeColor="text1" w:themeTint="A6"/>
      <w:spacing w:val="15"/>
      <w:sz w:val="28"/>
      <w:szCs w:val="28"/>
    </w:rPr>
  </w:style>
  <w:style w:type="character" w:styleId="161">
    <w:name w:val="Subtitle Char"/>
    <w:basedOn w:val="775"/>
    <w:link w:val="160"/>
    <w:uiPriority w:val="11"/>
    <w:pPr>
      <w:pBdr/>
      <w:spacing/>
      <w:ind/>
    </w:pPr>
    <w:rPr>
      <w:color w:val="595959" w:themeColor="text1" w:themeTint="A6"/>
      <w:spacing w:val="15"/>
      <w:sz w:val="28"/>
      <w:szCs w:val="28"/>
    </w:rPr>
  </w:style>
  <w:style w:type="paragraph" w:styleId="162">
    <w:name w:val="Quote"/>
    <w:basedOn w:val="771"/>
    <w:next w:val="771"/>
    <w:link w:val="163"/>
    <w:uiPriority w:val="29"/>
    <w:qFormat/>
    <w:pPr>
      <w:pBdr/>
      <w:spacing w:before="160"/>
      <w:ind/>
      <w:jc w:val="center"/>
    </w:pPr>
    <w:rPr>
      <w:i/>
      <w:iCs/>
      <w:color w:val="404040" w:themeColor="text1" w:themeTint="BF"/>
    </w:rPr>
  </w:style>
  <w:style w:type="character" w:styleId="163">
    <w:name w:val="Quote Char"/>
    <w:basedOn w:val="775"/>
    <w:link w:val="162"/>
    <w:uiPriority w:val="29"/>
    <w:pPr>
      <w:pBdr/>
      <w:spacing/>
      <w:ind/>
    </w:pPr>
    <w:rPr>
      <w:i/>
      <w:iCs/>
      <w:color w:val="404040" w:themeColor="text1" w:themeTint="BF"/>
    </w:rPr>
  </w:style>
  <w:style w:type="character" w:styleId="165">
    <w:name w:val="Intense Emphasis"/>
    <w:basedOn w:val="775"/>
    <w:uiPriority w:val="21"/>
    <w:qFormat/>
    <w:pPr>
      <w:pBdr/>
      <w:spacing/>
      <w:ind/>
    </w:pPr>
    <w:rPr>
      <w:i/>
      <w:iCs/>
      <w:color w:val="0f4761" w:themeColor="accent1" w:themeShade="BF"/>
    </w:rPr>
  </w:style>
  <w:style w:type="paragraph" w:styleId="166">
    <w:name w:val="Intense Quote"/>
    <w:basedOn w:val="771"/>
    <w:next w:val="771"/>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75"/>
    <w:link w:val="166"/>
    <w:uiPriority w:val="30"/>
    <w:pPr>
      <w:pBdr/>
      <w:spacing/>
      <w:ind/>
    </w:pPr>
    <w:rPr>
      <w:i/>
      <w:iCs/>
      <w:color w:val="0f4761" w:themeColor="accent1" w:themeShade="BF"/>
    </w:rPr>
  </w:style>
  <w:style w:type="character" w:styleId="168">
    <w:name w:val="Intense Reference"/>
    <w:basedOn w:val="775"/>
    <w:uiPriority w:val="32"/>
    <w:qFormat/>
    <w:pPr>
      <w:pBdr/>
      <w:spacing/>
      <w:ind/>
    </w:pPr>
    <w:rPr>
      <w:b/>
      <w:bCs/>
      <w:smallCaps/>
      <w:color w:val="0f4761" w:themeColor="accent1" w:themeShade="BF"/>
      <w:spacing w:val="5"/>
    </w:rPr>
  </w:style>
  <w:style w:type="character" w:styleId="170">
    <w:name w:val="Subtle Emphasis"/>
    <w:basedOn w:val="775"/>
    <w:uiPriority w:val="19"/>
    <w:qFormat/>
    <w:pPr>
      <w:pBdr/>
      <w:spacing/>
      <w:ind/>
    </w:pPr>
    <w:rPr>
      <w:i/>
      <w:iCs/>
      <w:color w:val="404040" w:themeColor="text1" w:themeTint="BF"/>
    </w:rPr>
  </w:style>
  <w:style w:type="character" w:styleId="171">
    <w:name w:val="Emphasis"/>
    <w:basedOn w:val="775"/>
    <w:uiPriority w:val="20"/>
    <w:qFormat/>
    <w:pPr>
      <w:pBdr/>
      <w:spacing/>
      <w:ind/>
    </w:pPr>
    <w:rPr>
      <w:i/>
      <w:iCs/>
    </w:rPr>
  </w:style>
  <w:style w:type="character" w:styleId="172">
    <w:name w:val="Strong"/>
    <w:basedOn w:val="775"/>
    <w:uiPriority w:val="22"/>
    <w:qFormat/>
    <w:pPr>
      <w:pBdr/>
      <w:spacing/>
      <w:ind/>
    </w:pPr>
    <w:rPr>
      <w:b/>
      <w:bCs/>
    </w:rPr>
  </w:style>
  <w:style w:type="character" w:styleId="173">
    <w:name w:val="Subtle Reference"/>
    <w:basedOn w:val="775"/>
    <w:uiPriority w:val="31"/>
    <w:qFormat/>
    <w:pPr>
      <w:pBdr/>
      <w:spacing/>
      <w:ind/>
    </w:pPr>
    <w:rPr>
      <w:smallCaps/>
      <w:color w:val="5a5a5a" w:themeColor="text1" w:themeTint="A5"/>
    </w:rPr>
  </w:style>
  <w:style w:type="character" w:styleId="174">
    <w:name w:val="Book Title"/>
    <w:basedOn w:val="775"/>
    <w:uiPriority w:val="33"/>
    <w:qFormat/>
    <w:pPr>
      <w:pBdr/>
      <w:spacing/>
      <w:ind/>
    </w:pPr>
    <w:rPr>
      <w:b/>
      <w:bCs/>
      <w:i/>
      <w:iCs/>
      <w:spacing w:val="5"/>
    </w:rPr>
  </w:style>
  <w:style w:type="paragraph" w:styleId="179">
    <w:name w:val="Caption"/>
    <w:basedOn w:val="771"/>
    <w:next w:val="771"/>
    <w:uiPriority w:val="35"/>
    <w:unhideWhenUsed/>
    <w:qFormat/>
    <w:pPr>
      <w:pBdr/>
      <w:spacing w:after="200" w:line="240" w:lineRule="auto"/>
      <w:ind/>
    </w:pPr>
    <w:rPr>
      <w:i/>
      <w:iCs/>
      <w:color w:val="0e2841" w:themeColor="text2"/>
      <w:sz w:val="18"/>
      <w:szCs w:val="18"/>
    </w:rPr>
  </w:style>
  <w:style w:type="paragraph" w:styleId="180">
    <w:name w:val="footnote text"/>
    <w:basedOn w:val="771"/>
    <w:link w:val="181"/>
    <w:uiPriority w:val="99"/>
    <w:semiHidden/>
    <w:unhideWhenUsed/>
    <w:pPr>
      <w:pBdr/>
      <w:spacing w:after="0" w:line="240" w:lineRule="auto"/>
      <w:ind/>
    </w:pPr>
    <w:rPr>
      <w:sz w:val="20"/>
      <w:szCs w:val="20"/>
    </w:rPr>
  </w:style>
  <w:style w:type="character" w:styleId="181">
    <w:name w:val="Footnote Text Char"/>
    <w:basedOn w:val="775"/>
    <w:link w:val="180"/>
    <w:uiPriority w:val="99"/>
    <w:semiHidden/>
    <w:pPr>
      <w:pBdr/>
      <w:spacing/>
      <w:ind/>
    </w:pPr>
    <w:rPr>
      <w:sz w:val="20"/>
      <w:szCs w:val="20"/>
    </w:rPr>
  </w:style>
  <w:style w:type="character" w:styleId="182">
    <w:name w:val="footnote reference"/>
    <w:basedOn w:val="775"/>
    <w:uiPriority w:val="99"/>
    <w:semiHidden/>
    <w:unhideWhenUsed/>
    <w:pPr>
      <w:pBdr/>
      <w:spacing/>
      <w:ind/>
    </w:pPr>
    <w:rPr>
      <w:vertAlign w:val="superscript"/>
    </w:rPr>
  </w:style>
  <w:style w:type="paragraph" w:styleId="183">
    <w:name w:val="endnote text"/>
    <w:basedOn w:val="771"/>
    <w:link w:val="184"/>
    <w:uiPriority w:val="99"/>
    <w:semiHidden/>
    <w:unhideWhenUsed/>
    <w:pPr>
      <w:pBdr/>
      <w:spacing w:after="0" w:line="240" w:lineRule="auto"/>
      <w:ind/>
    </w:pPr>
    <w:rPr>
      <w:sz w:val="20"/>
      <w:szCs w:val="20"/>
    </w:rPr>
  </w:style>
  <w:style w:type="character" w:styleId="184">
    <w:name w:val="Endnote Text Char"/>
    <w:basedOn w:val="775"/>
    <w:link w:val="183"/>
    <w:uiPriority w:val="99"/>
    <w:semiHidden/>
    <w:pPr>
      <w:pBdr/>
      <w:spacing/>
      <w:ind/>
    </w:pPr>
    <w:rPr>
      <w:sz w:val="20"/>
      <w:szCs w:val="20"/>
    </w:rPr>
  </w:style>
  <w:style w:type="character" w:styleId="185">
    <w:name w:val="endnote reference"/>
    <w:basedOn w:val="775"/>
    <w:uiPriority w:val="99"/>
    <w:semiHidden/>
    <w:unhideWhenUsed/>
    <w:pPr>
      <w:pBdr/>
      <w:spacing/>
      <w:ind/>
    </w:pPr>
    <w:rPr>
      <w:vertAlign w:val="superscript"/>
    </w:rPr>
  </w:style>
  <w:style w:type="character" w:styleId="186">
    <w:name w:val="Hyperlink"/>
    <w:basedOn w:val="775"/>
    <w:uiPriority w:val="99"/>
    <w:unhideWhenUsed/>
    <w:pPr>
      <w:pBdr/>
      <w:spacing/>
      <w:ind/>
    </w:pPr>
    <w:rPr>
      <w:color w:val="0563c1" w:themeColor="hyperlink"/>
      <w:u w:val="single"/>
    </w:rPr>
  </w:style>
  <w:style w:type="character" w:styleId="187">
    <w:name w:val="FollowedHyperlink"/>
    <w:basedOn w:val="775"/>
    <w:uiPriority w:val="99"/>
    <w:semiHidden/>
    <w:unhideWhenUsed/>
    <w:pPr>
      <w:pBdr/>
      <w:spacing/>
      <w:ind/>
    </w:pPr>
    <w:rPr>
      <w:color w:val="954f72" w:themeColor="followedHyperlink"/>
      <w:u w:val="single"/>
    </w:rPr>
  </w:style>
  <w:style w:type="paragraph" w:styleId="188">
    <w:name w:val="toc 1"/>
    <w:basedOn w:val="771"/>
    <w:next w:val="771"/>
    <w:uiPriority w:val="39"/>
    <w:unhideWhenUsed/>
    <w:pPr>
      <w:pBdr/>
      <w:spacing w:after="100"/>
      <w:ind/>
    </w:pPr>
  </w:style>
  <w:style w:type="paragraph" w:styleId="189">
    <w:name w:val="toc 2"/>
    <w:basedOn w:val="771"/>
    <w:next w:val="771"/>
    <w:uiPriority w:val="39"/>
    <w:unhideWhenUsed/>
    <w:pPr>
      <w:pBdr/>
      <w:spacing w:after="100"/>
      <w:ind w:left="220"/>
    </w:pPr>
  </w:style>
  <w:style w:type="paragraph" w:styleId="190">
    <w:name w:val="toc 3"/>
    <w:basedOn w:val="771"/>
    <w:next w:val="771"/>
    <w:uiPriority w:val="39"/>
    <w:unhideWhenUsed/>
    <w:pPr>
      <w:pBdr/>
      <w:spacing w:after="100"/>
      <w:ind w:left="440"/>
    </w:pPr>
  </w:style>
  <w:style w:type="paragraph" w:styleId="191">
    <w:name w:val="toc 4"/>
    <w:basedOn w:val="771"/>
    <w:next w:val="771"/>
    <w:uiPriority w:val="39"/>
    <w:unhideWhenUsed/>
    <w:pPr>
      <w:pBdr/>
      <w:spacing w:after="100"/>
      <w:ind w:left="660"/>
    </w:pPr>
  </w:style>
  <w:style w:type="paragraph" w:styleId="192">
    <w:name w:val="toc 5"/>
    <w:basedOn w:val="771"/>
    <w:next w:val="771"/>
    <w:uiPriority w:val="39"/>
    <w:unhideWhenUsed/>
    <w:pPr>
      <w:pBdr/>
      <w:spacing w:after="100"/>
      <w:ind w:left="880"/>
    </w:pPr>
  </w:style>
  <w:style w:type="paragraph" w:styleId="193">
    <w:name w:val="toc 6"/>
    <w:basedOn w:val="771"/>
    <w:next w:val="771"/>
    <w:uiPriority w:val="39"/>
    <w:unhideWhenUsed/>
    <w:pPr>
      <w:pBdr/>
      <w:spacing w:after="100"/>
      <w:ind w:left="1100"/>
    </w:pPr>
  </w:style>
  <w:style w:type="paragraph" w:styleId="194">
    <w:name w:val="toc 7"/>
    <w:basedOn w:val="771"/>
    <w:next w:val="771"/>
    <w:uiPriority w:val="39"/>
    <w:unhideWhenUsed/>
    <w:pPr>
      <w:pBdr/>
      <w:spacing w:after="100"/>
      <w:ind w:left="1320"/>
    </w:pPr>
  </w:style>
  <w:style w:type="paragraph" w:styleId="195">
    <w:name w:val="toc 8"/>
    <w:basedOn w:val="771"/>
    <w:next w:val="771"/>
    <w:uiPriority w:val="39"/>
    <w:unhideWhenUsed/>
    <w:pPr>
      <w:pBdr/>
      <w:spacing w:after="100"/>
      <w:ind w:left="1540"/>
    </w:pPr>
  </w:style>
  <w:style w:type="paragraph" w:styleId="196">
    <w:name w:val="toc 9"/>
    <w:basedOn w:val="771"/>
    <w:next w:val="771"/>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71"/>
    <w:next w:val="771"/>
    <w:uiPriority w:val="99"/>
    <w:unhideWhenUsed/>
    <w:pPr>
      <w:pBdr/>
      <w:spacing w:after="0" w:afterAutospacing="0"/>
      <w:ind/>
    </w:pPr>
  </w:style>
  <w:style w:type="paragraph" w:styleId="771" w:default="1">
    <w:name w:val="Normal"/>
    <w:qFormat/>
    <w:pPr>
      <w:pBdr/>
      <w:spacing/>
      <w:ind/>
    </w:pPr>
  </w:style>
  <w:style w:type="paragraph" w:styleId="772">
    <w:name w:val="Heading 1"/>
    <w:basedOn w:val="771"/>
    <w:link w:val="785"/>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773">
    <w:name w:val="Heading 2"/>
    <w:basedOn w:val="771"/>
    <w:next w:val="771"/>
    <w:link w:val="786"/>
    <w:qFormat/>
    <w:pPr>
      <w:keepNext w:val="true"/>
      <w:pBdr/>
      <w:spacing w:after="0" w:line="240" w:lineRule="auto"/>
      <w:ind/>
      <w:jc w:val="center"/>
      <w:outlineLvl w:val="1"/>
    </w:pPr>
    <w:rPr>
      <w:rFonts w:ascii="Arial" w:hAnsi="Arial" w:eastAsia="SimSun" w:cs="Arial"/>
      <w:b/>
      <w:bCs/>
      <w:sz w:val="24"/>
      <w:szCs w:val="24"/>
      <w:lang w:val="en-US"/>
    </w:rPr>
  </w:style>
  <w:style w:type="paragraph" w:styleId="774">
    <w:name w:val="Heading 3"/>
    <w:basedOn w:val="771"/>
    <w:next w:val="771"/>
    <w:link w:val="794"/>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character" w:styleId="775" w:default="1">
    <w:name w:val="Default Paragraph Font"/>
    <w:uiPriority w:val="1"/>
    <w:semiHidden/>
    <w:unhideWhenUsed/>
    <w:pPr>
      <w:pBdr/>
      <w:spacing/>
      <w:ind/>
    </w:pPr>
  </w:style>
  <w:style w:type="table" w:styleId="776"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77" w:default="1">
    <w:name w:val="No List"/>
    <w:uiPriority w:val="99"/>
    <w:semiHidden/>
    <w:unhideWhenUsed/>
    <w:pPr>
      <w:pBdr/>
      <w:spacing/>
      <w:ind/>
    </w:pPr>
  </w:style>
  <w:style w:type="paragraph" w:styleId="778">
    <w:name w:val="Header"/>
    <w:basedOn w:val="771"/>
    <w:link w:val="779"/>
    <w:uiPriority w:val="99"/>
    <w:unhideWhenUsed/>
    <w:pPr>
      <w:pBdr/>
      <w:tabs>
        <w:tab w:val="center" w:leader="none" w:pos="4680"/>
        <w:tab w:val="right" w:leader="none" w:pos="9360"/>
      </w:tabs>
      <w:spacing w:after="0" w:line="240" w:lineRule="auto"/>
      <w:ind/>
    </w:pPr>
  </w:style>
  <w:style w:type="character" w:styleId="779" w:customStyle="1">
    <w:name w:val="Header Char"/>
    <w:basedOn w:val="775"/>
    <w:link w:val="778"/>
    <w:uiPriority w:val="99"/>
    <w:pPr>
      <w:pBdr/>
      <w:spacing/>
      <w:ind/>
    </w:pPr>
  </w:style>
  <w:style w:type="paragraph" w:styleId="780">
    <w:name w:val="Footer"/>
    <w:basedOn w:val="771"/>
    <w:link w:val="781"/>
    <w:uiPriority w:val="99"/>
    <w:unhideWhenUsed/>
    <w:pPr>
      <w:pBdr/>
      <w:tabs>
        <w:tab w:val="center" w:leader="none" w:pos="4680"/>
        <w:tab w:val="right" w:leader="none" w:pos="9360"/>
      </w:tabs>
      <w:spacing w:after="0" w:line="240" w:lineRule="auto"/>
      <w:ind/>
    </w:pPr>
  </w:style>
  <w:style w:type="character" w:styleId="781" w:customStyle="1">
    <w:name w:val="Footer Char"/>
    <w:basedOn w:val="775"/>
    <w:link w:val="780"/>
    <w:uiPriority w:val="99"/>
    <w:pPr>
      <w:pBdr/>
      <w:spacing/>
      <w:ind/>
    </w:pPr>
  </w:style>
  <w:style w:type="table" w:styleId="782" w:customStyle="1">
    <w:name w:val="Proposal Table"/>
    <w:basedOn w:val="776"/>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83">
    <w:name w:val="Placeholder Text"/>
    <w:basedOn w:val="775"/>
    <w:uiPriority w:val="99"/>
    <w:semiHidden/>
    <w:pPr>
      <w:pBdr/>
      <w:spacing/>
      <w:ind/>
    </w:pPr>
    <w:rPr>
      <w:color w:val="595959" w:themeColor="text1" w:themeTint="A6"/>
    </w:rPr>
  </w:style>
  <w:style w:type="paragraph" w:styleId="784">
    <w:name w:val="Normal (Web)"/>
    <w:basedOn w:val="771"/>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785" w:customStyle="1">
    <w:name w:val="Heading 1 Char"/>
    <w:basedOn w:val="775"/>
    <w:link w:val="772"/>
    <w:uiPriority w:val="9"/>
    <w:pPr>
      <w:pBdr/>
      <w:spacing/>
      <w:ind/>
    </w:pPr>
    <w:rPr>
      <w:rFonts w:ascii="Arial" w:hAnsi="Arial" w:eastAsia="Arial" w:cs="Arial"/>
      <w:b/>
      <w:bCs/>
      <w:sz w:val="18"/>
      <w:szCs w:val="18"/>
      <w:lang w:val="en-US"/>
    </w:rPr>
  </w:style>
  <w:style w:type="character" w:styleId="786" w:customStyle="1">
    <w:name w:val="Heading 2 Char"/>
    <w:basedOn w:val="775"/>
    <w:link w:val="773"/>
    <w:pPr>
      <w:pBdr/>
      <w:spacing/>
      <w:ind/>
    </w:pPr>
    <w:rPr>
      <w:rFonts w:ascii="Arial" w:hAnsi="Arial" w:eastAsia="SimSun" w:cs="Arial"/>
      <w:b/>
      <w:bCs/>
      <w:sz w:val="24"/>
      <w:szCs w:val="24"/>
      <w:lang w:val="en-US"/>
    </w:rPr>
  </w:style>
  <w:style w:type="table" w:styleId="787">
    <w:name w:val="Table Grid"/>
    <w:basedOn w:val="776"/>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88">
    <w:name w:val="Body Text"/>
    <w:basedOn w:val="771"/>
    <w:link w:val="789"/>
    <w:qFormat/>
    <w:pPr>
      <w:widowControl w:val="false"/>
      <w:pBdr/>
      <w:spacing w:after="0" w:line="240" w:lineRule="auto"/>
      <w:ind w:hanging="360" w:left="462"/>
    </w:pPr>
    <w:rPr>
      <w:rFonts w:ascii="Cambria" w:hAnsi="Cambria" w:eastAsia="Cambria"/>
      <w:lang w:val="en-US"/>
    </w:rPr>
  </w:style>
  <w:style w:type="character" w:styleId="789" w:customStyle="1">
    <w:name w:val="Body Text Char"/>
    <w:basedOn w:val="775"/>
    <w:link w:val="788"/>
    <w:pPr>
      <w:pBdr/>
      <w:spacing/>
      <w:ind/>
    </w:pPr>
    <w:rPr>
      <w:rFonts w:ascii="Cambria" w:hAnsi="Cambria" w:eastAsia="Cambria"/>
      <w:lang w:val="en-US"/>
    </w:rPr>
  </w:style>
  <w:style w:type="paragraph" w:styleId="790" w:customStyle="1">
    <w:name w:val="Table Paragraph"/>
    <w:basedOn w:val="771"/>
    <w:uiPriority w:val="1"/>
    <w:qFormat/>
    <w:pPr>
      <w:widowControl w:val="false"/>
      <w:pBdr/>
      <w:spacing w:after="0" w:line="240" w:lineRule="auto"/>
      <w:ind/>
    </w:pPr>
    <w:rPr>
      <w:lang w:val="en-US"/>
    </w:rPr>
  </w:style>
  <w:style w:type="paragraph" w:styleId="791">
    <w:name w:val="No Spacing"/>
    <w:link w:val="792"/>
    <w:uiPriority w:val="1"/>
    <w:qFormat/>
    <w:pPr>
      <w:pBdr/>
      <w:spacing w:after="0" w:line="240" w:lineRule="auto"/>
      <w:ind/>
    </w:pPr>
    <w:rPr>
      <w:lang w:val="en-US"/>
    </w:rPr>
  </w:style>
  <w:style w:type="character" w:styleId="792" w:customStyle="1">
    <w:name w:val="No Spacing Char"/>
    <w:link w:val="791"/>
    <w:uiPriority w:val="1"/>
    <w:pPr>
      <w:pBdr/>
      <w:spacing/>
      <w:ind/>
    </w:pPr>
    <w:rPr>
      <w:lang w:val="en-US"/>
    </w:rPr>
  </w:style>
  <w:style w:type="paragraph" w:styleId="793">
    <w:name w:val="List Paragraph"/>
    <w:basedOn w:val="771"/>
    <w:uiPriority w:val="1"/>
    <w:qFormat/>
    <w:pPr>
      <w:pBdr/>
      <w:spacing/>
      <w:ind w:left="720"/>
      <w:contextualSpacing w:val="true"/>
    </w:pPr>
  </w:style>
  <w:style w:type="character" w:styleId="794" w:customStyle="1">
    <w:name w:val="Heading 3 Char"/>
    <w:basedOn w:val="775"/>
    <w:link w:val="774"/>
    <w:uiPriority w:val="9"/>
    <w:semiHidden/>
    <w:pPr>
      <w:pBdr/>
      <w:spacing/>
      <w:ind/>
    </w:pPr>
    <w:rPr>
      <w:rFonts w:asciiTheme="majorHAnsi" w:hAnsiTheme="majorHAnsi" w:eastAsiaTheme="majorEastAsia" w:cstheme="majorBidi"/>
      <w:color w:val="1f3763" w:themeColor="accent1" w:themeShade="7F"/>
      <w:sz w:val="24"/>
      <w:szCs w:val="24"/>
    </w:rPr>
  </w:style>
  <w:style w:type="paragraph" w:styleId="795" w:customStyle="1">
    <w:name w:val="Default"/>
    <w:pPr>
      <w:pBdr/>
      <w:spacing w:after="0" w:line="240" w:lineRule="auto"/>
      <w:ind/>
    </w:pPr>
    <w:rPr>
      <w:rFonts w:ascii="Arial" w:hAnsi="Arial" w:cs="Arial"/>
      <w:color w:val="000000"/>
      <w:sz w:val="24"/>
      <w:szCs w:val="24"/>
    </w:rPr>
  </w:style>
  <w:style w:type="paragraph" w:styleId="796">
    <w:name w:val="Title"/>
    <w:basedOn w:val="771"/>
    <w:link w:val="797"/>
    <w:uiPriority w:val="10"/>
    <w:qFormat/>
    <w:pPr>
      <w:widowControl w:val="false"/>
      <w:pBdr/>
      <w:spacing w:after="0" w:before="1" w:line="240" w:lineRule="auto"/>
      <w:ind w:left="100"/>
    </w:pPr>
    <w:rPr>
      <w:rFonts w:ascii="Arial MT" w:hAnsi="Arial MT" w:eastAsia="Arial MT" w:cs="Arial MT"/>
      <w:sz w:val="28"/>
      <w:szCs w:val="28"/>
      <w:u w:val="single"/>
      <w:lang w:val="en-US"/>
    </w:rPr>
  </w:style>
  <w:style w:type="character" w:styleId="797" w:customStyle="1">
    <w:name w:val="Title Char"/>
    <w:basedOn w:val="775"/>
    <w:link w:val="796"/>
    <w:uiPriority w:val="10"/>
    <w:pPr>
      <w:pBdr/>
      <w:spacing/>
      <w:ind/>
    </w:pPr>
    <w:rPr>
      <w:rFonts w:ascii="Arial MT" w:hAnsi="Arial MT" w:eastAsia="Arial MT" w:cs="Arial MT"/>
      <w:sz w:val="28"/>
      <w:szCs w:val="28"/>
      <w:u w:val="single"/>
      <w:lang w:val="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25267CD-6C6F-4E21-857E-5A00F201B27E}"/>
</file>

<file path=customXml/itemProps2.xml><?xml version="1.0" encoding="utf-8"?>
<ds:datastoreItem xmlns:ds="http://schemas.openxmlformats.org/officeDocument/2006/customXml" ds:itemID="{43D30F2D-2716-4D3A-B85E-6E9CBB30D5FA}"/>
</file>

<file path=customXml/itemProps3.xml><?xml version="1.0" encoding="utf-8"?>
<ds:datastoreItem xmlns:ds="http://schemas.openxmlformats.org/officeDocument/2006/customXml" ds:itemID="{E59D27A0-B724-485F-8616-533F0171F339}"/>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2025-07-02T18:00:59Z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