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jc w:val="center"/>
        <w:rPr>
          <w:rFonts w:ascii="Futura PT Demi" w:hAnsi="Futura PT Demi"/>
          <w:b/>
          <w:sz w:val="24"/>
        </w:rPr>
      </w:pPr>
      <w:r>
        <w:rPr>
          <w:rFonts w:ascii="Futura PT Demi" w:hAnsi="Futura PT Demi"/>
          <w:b/>
          <w:sz w:val="24"/>
        </w:rPr>
        <w:t xml:space="preserve">MRAD 202</w:t>
      </w:r>
      <w:r>
        <w:rPr>
          <w:rFonts w:ascii="Futura PT Demi" w:hAnsi="Futura PT Demi"/>
          <w:b/>
          <w:sz w:val="24"/>
        </w:rPr>
        <w:t xml:space="preserve"> - </w:t>
      </w:r>
      <w:r>
        <w:rPr>
          <w:rFonts w:ascii="Futura PT Demi" w:hAnsi="Futura PT Demi"/>
          <w:b/>
          <w:sz w:val="24"/>
        </w:rPr>
        <w:t xml:space="preserve">Worksheet </w:t>
      </w:r>
      <w:r>
        <w:rPr>
          <w:rFonts w:ascii="Futura PT Demi" w:hAnsi="Futura PT Demi"/>
          <w:b/>
          <w:color w:val="7030a0"/>
          <w:sz w:val="24"/>
        </w:rPr>
        <w:t xml:space="preserve">-</w:t>
      </w:r>
      <w:r>
        <w:rPr>
          <w:rFonts w:ascii="Futura PT Demi" w:hAnsi="Futura PT Demi"/>
          <w:b/>
          <w:color w:val="7030a0"/>
          <w:sz w:val="24"/>
        </w:rPr>
        <w:t xml:space="preserve"> </w:t>
      </w:r>
      <w:r>
        <w:rPr>
          <w:rFonts w:ascii="Futura PT Demi" w:hAnsi="Futura PT Demi"/>
          <w:b/>
          <w:sz w:val="24"/>
        </w:rPr>
        <w:t xml:space="preserve">A</w:t>
      </w:r>
      <w:r>
        <w:rPr>
          <w:rFonts w:ascii="Futura PT Demi" w:hAnsi="Futura PT Demi"/>
          <w:b/>
          <w:sz w:val="24"/>
        </w:rPr>
        <w:t xml:space="preserve">dvanced </w:t>
      </w:r>
      <w:r>
        <w:rPr>
          <w:rFonts w:ascii="Futura PT Demi" w:hAnsi="Futura PT Demi"/>
          <w:b/>
          <w:sz w:val="24"/>
        </w:rPr>
        <w:t xml:space="preserve">Medical Accessory</w:t>
      </w:r>
      <w:r>
        <w:rPr>
          <w:rFonts w:ascii="Futura PT Demi" w:hAnsi="Futura PT Demi"/>
          <w:b/>
          <w:sz w:val="24"/>
        </w:rPr>
        <w:t xml:space="preserve"> Equipment </w:t>
      </w:r>
      <w:r>
        <w:rPr>
          <w:rFonts w:ascii="Futura PT Demi" w:hAnsi="Futura PT Demi"/>
          <w:b/>
          <w:sz w:val="24"/>
        </w:rPr>
        <w:t xml:space="preserve">– ANSWER KEY</w:t>
      </w:r>
      <w:r>
        <w:rPr>
          <w:rFonts w:ascii="Futura PT Demi" w:hAnsi="Futura PT Demi"/>
          <w:b/>
          <w:sz w:val="24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b/>
        </w:rPr>
      </w:pPr>
      <w:r>
        <w:rPr>
          <w:b/>
          <w:sz w:val="24"/>
        </w:rPr>
        <w:t xml:space="preserve">Instructions:</w:t>
      </w:r>
      <w:r>
        <w:rPr>
          <w:sz w:val="24"/>
        </w:rPr>
        <w:t xml:space="preserve"> </w:t>
      </w:r>
      <w:r>
        <w:t xml:space="preserve">Answer the following questions:</w:t>
      </w:r>
      <w:r>
        <w:rPr>
          <w:b/>
        </w:rPr>
      </w:r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numPr>
          <w:ilvl w:val="0"/>
          <w:numId w:val="14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List the </w:t>
      </w:r>
      <w:r>
        <w:rPr>
          <w:lang w:eastAsia="en-CA"/>
        </w:rPr>
        <w:t xml:space="preserve">three </w:t>
      </w:r>
      <w:r>
        <w:rPr>
          <w:lang w:eastAsia="en-CA"/>
        </w:rPr>
        <w:t xml:space="preserve">reasons why a</w:t>
      </w:r>
      <w:r>
        <w:rPr>
          <w:lang w:eastAsia="en-CA"/>
        </w:rPr>
        <w:t xml:space="preserve"> </w:t>
      </w:r>
      <w:r>
        <w:rPr>
          <w:lang w:eastAsia="en-CA"/>
        </w:rPr>
        <w:t xml:space="preserve">nasogastric</w:t>
      </w:r>
      <w:r>
        <w:rPr>
          <w:lang w:eastAsia="en-CA"/>
        </w:rPr>
        <w:t xml:space="preserve"> </w:t>
      </w:r>
      <w:r>
        <w:rPr>
          <w:lang w:eastAsia="en-CA"/>
        </w:rPr>
        <w:t xml:space="preserve">(</w:t>
      </w:r>
      <w:r>
        <w:rPr>
          <w:lang w:eastAsia="en-CA"/>
        </w:rPr>
        <w:t xml:space="preserve">NG</w:t>
      </w:r>
      <w:r>
        <w:rPr>
          <w:lang w:eastAsia="en-CA"/>
        </w:rPr>
        <w:t xml:space="preserve">)</w:t>
      </w:r>
      <w:r>
        <w:rPr>
          <w:lang w:eastAsia="en-CA"/>
        </w:rPr>
        <w:t xml:space="preserve"> tube would be inserted for feeding.</w:t>
      </w:r>
      <w:r>
        <w:rPr>
          <w:lang w:eastAsia="en-CA"/>
        </w:rPr>
      </w:r>
    </w:p>
    <w:p>
      <w:pPr>
        <w:pBdr/>
        <w:spacing/>
        <w:ind w:left="360"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pBdr/>
        <w:spacing/>
        <w:ind w:left="360"/>
        <w:rPr>
          <w:color w:val="7030a0"/>
          <w:lang w:eastAsia="en-CA"/>
        </w:rPr>
      </w:pPr>
      <w:r>
        <w:rPr>
          <w:color w:val="7030a0"/>
          <w:lang w:eastAsia="en-CA"/>
        </w:rPr>
        <w:t xml:space="preserve">Feeding, decompression, radiographic examination</w:t>
      </w:r>
      <w:r>
        <w:rPr>
          <w:color w:val="7030a0"/>
          <w:lang w:eastAsia="en-CA"/>
        </w:rPr>
      </w:r>
    </w:p>
    <w:p>
      <w:pPr>
        <w:pBdr/>
        <w:spacing/>
        <w:ind/>
        <w:rPr>
          <w:color w:val="7030a0"/>
          <w:lang w:eastAsia="en-CA"/>
        </w:rPr>
      </w:pPr>
      <w:r>
        <w:rPr>
          <w:color w:val="7030a0"/>
          <w:lang w:eastAsia="en-CA"/>
        </w:rPr>
      </w:r>
      <w:r>
        <w:rPr>
          <w:color w:val="7030a0"/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numPr>
          <w:ilvl w:val="0"/>
          <w:numId w:val="14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In which modality</w:t>
      </w:r>
      <w:r>
        <w:rPr>
          <w:lang w:eastAsia="en-CA"/>
        </w:rPr>
        <w:t xml:space="preserve"> would an NG tub</w:t>
      </w:r>
      <w:r>
        <w:rPr>
          <w:lang w:eastAsia="en-CA"/>
        </w:rPr>
        <w:t xml:space="preserve">e</w:t>
      </w:r>
      <w:r>
        <w:rPr>
          <w:lang w:eastAsia="en-CA"/>
        </w:rPr>
        <w:t xml:space="preserve"> be inserted </w:t>
      </w:r>
      <w:r>
        <w:rPr>
          <w:lang w:eastAsia="en-CA"/>
        </w:rPr>
        <w:t xml:space="preserve">to optimize the images?</w:t>
      </w:r>
      <w:r>
        <w:rPr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  <w:t xml:space="preserve">   </w:t>
      </w:r>
      <w:r>
        <w:rPr>
          <w:lang w:eastAsia="en-CA"/>
        </w:rPr>
      </w:r>
    </w:p>
    <w:p>
      <w:pPr>
        <w:pBdr/>
        <w:spacing/>
        <w:ind/>
        <w:rPr>
          <w:color w:val="7030a0"/>
          <w:lang w:eastAsia="en-CA"/>
        </w:rPr>
      </w:pPr>
      <w:r>
        <w:rPr>
          <w:lang w:eastAsia="en-CA"/>
        </w:rPr>
        <w:t xml:space="preserve">       </w:t>
      </w:r>
      <w:r>
        <w:rPr>
          <w:color w:val="7030a0"/>
          <w:lang w:eastAsia="en-CA"/>
        </w:rPr>
        <w:t xml:space="preserve">CT</w:t>
      </w:r>
      <w:r>
        <w:rPr>
          <w:color w:val="7030a0"/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numPr>
          <w:ilvl w:val="0"/>
          <w:numId w:val="14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Name the </w:t>
      </w:r>
      <w:r>
        <w:rPr>
          <w:lang w:eastAsia="en-CA"/>
        </w:rPr>
        <w:t xml:space="preserve">two</w:t>
      </w:r>
      <w:r>
        <w:rPr>
          <w:lang w:eastAsia="en-CA"/>
        </w:rPr>
        <w:t xml:space="preserve"> types of NG tubes used for decompression</w:t>
      </w:r>
      <w:r>
        <w:rPr>
          <w:lang w:eastAsia="en-CA"/>
        </w:rPr>
        <w:t xml:space="preserve">.</w:t>
      </w:r>
      <w:r>
        <w:rPr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pBdr/>
        <w:spacing/>
        <w:ind w:left="360"/>
        <w:rPr>
          <w:color w:val="7030a0"/>
          <w:lang w:eastAsia="en-CA"/>
        </w:rPr>
      </w:pPr>
      <w:r>
        <w:rPr>
          <w:color w:val="7030a0"/>
          <w:lang w:eastAsia="en-CA"/>
        </w:rPr>
        <w:t xml:space="preserve">Levin and Salem-Sump</w:t>
      </w:r>
      <w:r>
        <w:rPr>
          <w:color w:val="7030a0"/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numPr>
          <w:ilvl w:val="0"/>
          <w:numId w:val="14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Name the</w:t>
      </w:r>
      <w:r>
        <w:rPr>
          <w:lang w:eastAsia="en-CA"/>
        </w:rPr>
        <w:t xml:space="preserve"> </w:t>
      </w:r>
      <w:r>
        <w:rPr>
          <w:lang w:eastAsia="en-CA"/>
        </w:rPr>
        <w:t xml:space="preserve">nasoe</w:t>
      </w:r>
      <w:r>
        <w:rPr>
          <w:lang w:eastAsia="en-CA"/>
        </w:rPr>
        <w:t xml:space="preserve">nteric</w:t>
      </w:r>
      <w:r>
        <w:rPr>
          <w:lang w:eastAsia="en-CA"/>
        </w:rPr>
        <w:t xml:space="preserve"> (</w:t>
      </w:r>
      <w:r>
        <w:rPr>
          <w:lang w:eastAsia="en-CA"/>
        </w:rPr>
        <w:t xml:space="preserve">NE</w:t>
      </w:r>
      <w:r>
        <w:rPr>
          <w:lang w:eastAsia="en-CA"/>
        </w:rPr>
        <w:t xml:space="preserve">)</w:t>
      </w:r>
      <w:r>
        <w:rPr>
          <w:lang w:eastAsia="en-CA"/>
        </w:rPr>
        <w:t xml:space="preserve"> tube which promotes peristalsis.</w:t>
      </w:r>
      <w:r>
        <w:rPr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pBdr/>
        <w:spacing/>
        <w:ind w:left="360"/>
        <w:rPr>
          <w:color w:val="7030a0"/>
          <w:lang w:eastAsia="en-CA"/>
        </w:rPr>
      </w:pPr>
      <w:r>
        <w:rPr>
          <w:color w:val="7030a0"/>
          <w:lang w:eastAsia="en-CA"/>
        </w:rPr>
        <w:t xml:space="preserve">Miller-Abbott</w:t>
      </w:r>
      <w:r>
        <w:rPr>
          <w:color w:val="7030a0"/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numPr>
          <w:ilvl w:val="0"/>
          <w:numId w:val="14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Explain the rational</w:t>
      </w:r>
      <w:r>
        <w:rPr>
          <w:lang w:eastAsia="en-CA"/>
        </w:rPr>
        <w:t xml:space="preserve">e</w:t>
      </w:r>
      <w:r>
        <w:rPr>
          <w:lang w:eastAsia="en-CA"/>
        </w:rPr>
        <w:t xml:space="preserve"> for performing a chest x-ray on a patient who recently had an NG tube inserted.</w:t>
      </w:r>
      <w:r>
        <w:rPr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pBdr/>
        <w:spacing/>
        <w:ind w:left="360"/>
        <w:rPr>
          <w:color w:val="7030a0"/>
          <w:lang w:eastAsia="en-CA"/>
        </w:rPr>
      </w:pPr>
      <w:r>
        <w:rPr>
          <w:color w:val="7030a0"/>
          <w:lang w:eastAsia="en-CA"/>
        </w:rPr>
        <w:t xml:space="preserve">To confirm the placement of the NG tube PRIOR to administering any nutrients etc. </w:t>
      </w:r>
      <w:r>
        <w:rPr>
          <w:color w:val="7030a0"/>
          <w:lang w:eastAsia="en-CA"/>
        </w:rPr>
      </w:r>
    </w:p>
    <w:p>
      <w:pPr>
        <w:pBdr/>
        <w:spacing/>
        <w:ind/>
        <w:rPr>
          <w:color w:val="7030a0"/>
          <w:lang w:eastAsia="en-CA"/>
        </w:rPr>
      </w:pPr>
      <w:r>
        <w:rPr>
          <w:color w:val="7030a0"/>
          <w:lang w:eastAsia="en-CA"/>
        </w:rPr>
      </w:r>
      <w:r>
        <w:rPr>
          <w:color w:val="7030a0"/>
          <w:lang w:eastAsia="en-CA"/>
        </w:rPr>
      </w:r>
    </w:p>
    <w:p>
      <w:pPr>
        <w:pBdr/>
        <w:spacing/>
        <w:ind/>
        <w:rPr>
          <w:color w:val="7030a0"/>
          <w:lang w:eastAsia="en-CA"/>
        </w:rPr>
      </w:pPr>
      <w:r>
        <w:rPr>
          <w:color w:val="7030a0"/>
          <w:lang w:eastAsia="en-CA"/>
        </w:rPr>
      </w:r>
      <w:r>
        <w:rPr>
          <w:color w:val="7030a0"/>
          <w:lang w:eastAsia="en-CA"/>
        </w:rPr>
      </w:r>
    </w:p>
    <w:p>
      <w:pPr>
        <w:numPr>
          <w:ilvl w:val="0"/>
          <w:numId w:val="14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Are the</w:t>
      </w:r>
      <w:r>
        <w:rPr>
          <w:lang w:eastAsia="en-CA"/>
        </w:rPr>
        <w:t xml:space="preserve"> </w:t>
      </w:r>
      <w:r>
        <w:rPr>
          <w:lang w:eastAsia="en-CA"/>
        </w:rPr>
        <w:t xml:space="preserve">electrocardiogram</w:t>
      </w:r>
      <w:r>
        <w:rPr>
          <w:lang w:eastAsia="en-CA"/>
        </w:rPr>
        <w:t xml:space="preserve"> </w:t>
      </w:r>
      <w:r>
        <w:rPr>
          <w:lang w:eastAsia="en-CA"/>
        </w:rPr>
        <w:t xml:space="preserve">(</w:t>
      </w:r>
      <w:r>
        <w:rPr>
          <w:lang w:eastAsia="en-CA"/>
        </w:rPr>
        <w:t xml:space="preserve">ECG</w:t>
      </w:r>
      <w:r>
        <w:rPr>
          <w:lang w:eastAsia="en-CA"/>
        </w:rPr>
        <w:t xml:space="preserve">)</w:t>
      </w:r>
      <w:r>
        <w:rPr>
          <w:lang w:eastAsia="en-CA"/>
        </w:rPr>
        <w:t xml:space="preserve"> leads placed on the ribs or the intercostal spaces and why?</w:t>
      </w:r>
      <w:r>
        <w:rPr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pBdr/>
        <w:spacing/>
        <w:ind w:left="360"/>
        <w:rPr>
          <w:color w:val="7030a0"/>
          <w:lang w:eastAsia="en-CA"/>
        </w:rPr>
      </w:pPr>
      <w:r>
        <w:rPr>
          <w:color w:val="7030a0"/>
          <w:lang w:eastAsia="en-CA"/>
        </w:rPr>
        <w:t xml:space="preserve">Intercoastal spaces because bone causes artifact</w:t>
      </w:r>
      <w:r>
        <w:rPr>
          <w:color w:val="7030a0"/>
          <w:lang w:eastAsia="en-CA"/>
        </w:rPr>
      </w:r>
    </w:p>
    <w:p>
      <w:pPr>
        <w:pBdr/>
        <w:spacing w:line="240" w:lineRule="auto"/>
        <w:ind/>
        <w:rPr>
          <w:lang w:eastAsia="en-CA"/>
        </w:rPr>
      </w:pPr>
      <w:r>
        <w:rPr>
          <w:lang w:eastAsia="en-CA"/>
        </w:rPr>
        <w:br w:type="page" w:clear="all"/>
      </w:r>
      <w:r>
        <w:rPr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numPr>
          <w:ilvl w:val="0"/>
          <w:numId w:val="14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List the three</w:t>
      </w:r>
      <w:r>
        <w:rPr>
          <w:lang w:eastAsia="en-CA"/>
        </w:rPr>
        <w:t xml:space="preserve"> classifications of central venous catheters</w:t>
      </w:r>
      <w:r>
        <w:rPr>
          <w:lang w:eastAsia="en-CA"/>
        </w:rPr>
        <w:t xml:space="preserve"> (CVCs)</w:t>
      </w:r>
      <w:r>
        <w:rPr>
          <w:lang w:eastAsia="en-CA"/>
        </w:rPr>
        <w:t xml:space="preserve">.</w:t>
      </w:r>
      <w:r>
        <w:rPr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pBdr/>
        <w:spacing/>
        <w:ind/>
        <w:rPr>
          <w:color w:val="7030a0"/>
          <w:lang w:eastAsia="en-CA"/>
        </w:rPr>
      </w:pPr>
      <w:r>
        <w:rPr>
          <w:lang w:eastAsia="en-CA"/>
        </w:rPr>
        <w:t xml:space="preserve">    </w:t>
      </w:r>
      <w:r>
        <w:rPr>
          <w:color w:val="7030a0"/>
          <w:lang w:eastAsia="en-CA"/>
        </w:rPr>
        <w:t xml:space="preserve">Short or Long term, non-tunneled, external catheters</w:t>
      </w:r>
      <w:r>
        <w:rPr>
          <w:color w:val="7030a0"/>
          <w:lang w:eastAsia="en-CA"/>
        </w:rPr>
      </w:r>
    </w:p>
    <w:p>
      <w:pPr>
        <w:pBdr/>
        <w:spacing/>
        <w:ind/>
        <w:rPr>
          <w:color w:val="7030a0"/>
          <w:lang w:eastAsia="en-CA"/>
        </w:rPr>
      </w:pPr>
      <w:r>
        <w:rPr>
          <w:color w:val="7030a0"/>
          <w:lang w:eastAsia="en-CA"/>
        </w:rPr>
        <w:t xml:space="preserve">    Long-term, tunneled, external catheters</w:t>
      </w:r>
      <w:r>
        <w:rPr>
          <w:color w:val="7030a0"/>
          <w:lang w:eastAsia="en-CA"/>
        </w:rPr>
      </w:r>
    </w:p>
    <w:p>
      <w:pPr>
        <w:pBdr/>
        <w:spacing/>
        <w:ind/>
        <w:rPr>
          <w:color w:val="7030a0"/>
          <w:lang w:eastAsia="en-CA"/>
        </w:rPr>
      </w:pPr>
      <w:r>
        <w:rPr>
          <w:color w:val="7030a0"/>
          <w:lang w:eastAsia="en-CA"/>
        </w:rPr>
        <w:t xml:space="preserve">    Long-term, implanted infusion ports</w:t>
      </w:r>
      <w:r>
        <w:rPr>
          <w:color w:val="7030a0"/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numPr>
          <w:ilvl w:val="0"/>
          <w:numId w:val="14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What is the purpose of a Groshong catheter?</w:t>
      </w:r>
      <w:r>
        <w:rPr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pBdr/>
        <w:spacing/>
        <w:ind w:left="360"/>
        <w:rPr>
          <w:lang w:eastAsia="en-CA"/>
        </w:rPr>
      </w:pPr>
      <w:r>
        <w:rPr>
          <w:lang w:eastAsia="en-CA"/>
        </w:rPr>
        <w:t xml:space="preserve">It’s used for delivering medications/fluids and for withdrawing blood</w:t>
      </w:r>
      <w:r>
        <w:rPr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numPr>
          <w:ilvl w:val="0"/>
          <w:numId w:val="14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Which</w:t>
      </w:r>
      <w:r>
        <w:rPr>
          <w:lang w:eastAsia="en-CA"/>
        </w:rPr>
        <w:t xml:space="preserve"> health</w:t>
      </w:r>
      <w:r>
        <w:rPr>
          <w:lang w:eastAsia="en-CA"/>
        </w:rPr>
        <w:t xml:space="preserve">care provider can access CVCs?</w:t>
      </w:r>
      <w:r>
        <w:rPr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  <w:t xml:space="preserve">   </w:t>
      </w:r>
      <w:r>
        <w:rPr>
          <w:lang w:eastAsia="en-CA"/>
        </w:rPr>
      </w:r>
    </w:p>
    <w:p>
      <w:pPr>
        <w:pBdr/>
        <w:spacing/>
        <w:ind/>
        <w:rPr>
          <w:color w:val="7030a0"/>
          <w:lang w:eastAsia="en-CA"/>
        </w:rPr>
      </w:pPr>
      <w:r>
        <w:rPr>
          <w:color w:val="7030a0"/>
          <w:lang w:eastAsia="en-CA"/>
        </w:rPr>
        <w:t xml:space="preserve">    Only specially trained personal are permitted to access CVCs. Nurses with additional training.</w:t>
      </w:r>
      <w:r>
        <w:rPr>
          <w:color w:val="7030a0"/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pBdr/>
        <w:spacing/>
        <w:ind/>
        <w:rPr>
          <w:lang w:eastAsia="en-CA"/>
        </w:rPr>
      </w:pPr>
      <w:r>
        <w:rPr>
          <w:lang w:eastAsia="en-CA"/>
        </w:rPr>
      </w:r>
      <w:r>
        <w:rPr>
          <w:lang w:eastAsia="en-CA"/>
        </w:rPr>
      </w:r>
    </w:p>
    <w:p>
      <w:pPr>
        <w:numPr>
          <w:ilvl w:val="0"/>
          <w:numId w:val="14"/>
        </w:numPr>
        <w:pBdr/>
        <w:spacing/>
        <w:ind/>
        <w:rPr>
          <w:lang w:eastAsia="en-CA"/>
        </w:rPr>
      </w:pPr>
      <w:r>
        <w:rPr>
          <w:lang w:eastAsia="en-CA"/>
        </w:rPr>
        <w:t xml:space="preserve">List the locations where CVCs can be inserted.</w:t>
      </w:r>
      <w:r>
        <w:rPr>
          <w:lang w:eastAsia="en-CA"/>
        </w:rPr>
        <w:br/>
      </w:r>
      <w:r>
        <w:rPr>
          <w:lang w:eastAsia="en-CA"/>
        </w:rPr>
      </w:r>
    </w:p>
    <w:p>
      <w:pPr>
        <w:pBdr/>
        <w:spacing/>
        <w:ind w:left="360"/>
        <w:rPr>
          <w:color w:val="7030a0"/>
          <w:lang w:eastAsia="en-CA"/>
        </w:rPr>
      </w:pPr>
      <w:r>
        <w:rPr>
          <w:color w:val="7030a0"/>
          <w:lang w:eastAsia="en-CA"/>
        </w:rPr>
        <w:t xml:space="preserve">Subclavian vein</w:t>
      </w:r>
      <w:r>
        <w:rPr>
          <w:color w:val="7030a0"/>
          <w:lang w:eastAsia="en-CA"/>
        </w:rPr>
      </w:r>
    </w:p>
    <w:p>
      <w:pPr>
        <w:pBdr/>
        <w:spacing/>
        <w:ind w:left="360"/>
        <w:rPr>
          <w:color w:val="7030a0"/>
          <w:lang w:eastAsia="en-CA"/>
        </w:rPr>
      </w:pPr>
      <w:r>
        <w:rPr>
          <w:color w:val="7030a0"/>
          <w:lang w:eastAsia="en-CA"/>
        </w:rPr>
        <w:t xml:space="preserve">Femoral vein</w:t>
      </w:r>
      <w:r>
        <w:rPr>
          <w:color w:val="7030a0"/>
          <w:lang w:eastAsia="en-CA"/>
        </w:rPr>
      </w:r>
    </w:p>
    <w:p>
      <w:pPr>
        <w:pBdr/>
        <w:spacing/>
        <w:ind w:left="360"/>
        <w:rPr>
          <w:color w:val="7030a0"/>
          <w:lang w:eastAsia="en-CA"/>
        </w:rPr>
      </w:pPr>
      <w:r>
        <w:rPr>
          <w:color w:val="7030a0"/>
          <w:lang w:eastAsia="en-CA"/>
        </w:rPr>
        <w:t xml:space="preserve">Basilic or cephalic vein in arm ( PICC lines)</w:t>
      </w:r>
      <w:r>
        <w:rPr>
          <w:color w:val="7030a0"/>
          <w:lang w:eastAsia="en-CA"/>
        </w:rPr>
      </w:r>
    </w:p>
    <w:p>
      <w:pPr>
        <w:pBdr/>
        <w:spacing/>
        <w:ind/>
        <w:rPr>
          <w:color w:val="7030a0"/>
          <w:lang w:val="en-CA" w:eastAsia="en-CA"/>
        </w:rPr>
      </w:pPr>
      <w:r>
        <w:rPr>
          <w:color w:val="7030a0"/>
          <w:lang w:val="en-CA" w:eastAsia="en-CA"/>
        </w:rPr>
      </w:r>
      <w:r>
        <w:rPr>
          <w:color w:val="7030a0"/>
          <w:lang w:val="en-CA" w:eastAsia="en-CA"/>
        </w:rPr>
      </w:r>
    </w:p>
    <w:p>
      <w:pPr>
        <w:pBdr/>
        <w:spacing/>
        <w:ind/>
        <w:rPr>
          <w:lang w:val="en-CA" w:eastAsia="en-CA"/>
        </w:rPr>
      </w:pPr>
      <w:r>
        <w:rPr>
          <w:lang w:val="en-CA" w:eastAsia="en-CA"/>
        </w:rPr>
      </w:r>
      <w:r>
        <w:rPr>
          <w:lang w:val="en-CA" w:eastAsia="en-CA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6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806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6"/>
      <w:pBdr/>
      <w:spacing w:after="0"/>
      <w:ind/>
      <w:jc w:val="center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4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794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num w:numId="1">
    <w:abstractNumId w:val="3"/>
  </w:num>
  <w:num w:numId="2">
    <w:abstractNumId w:val="13"/>
  </w:num>
  <w:num w:numId="3">
    <w:abstractNumId w:val="8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2"/>
  </w:num>
  <w:num w:numId="10">
    <w:abstractNumId w:val="11"/>
  </w:num>
  <w:num w:numId="11">
    <w:abstractNumId w:val="9"/>
  </w:num>
  <w:num w:numId="12">
    <w:abstractNumId w:val="10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0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0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0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93"/>
    <w:next w:val="79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93"/>
    <w:next w:val="79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93"/>
    <w:next w:val="79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93"/>
    <w:next w:val="79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152">
    <w:name w:val="Heading 4 Char"/>
    <w:basedOn w:val="79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99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9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9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60">
    <w:name w:val="Subtitle"/>
    <w:basedOn w:val="793"/>
    <w:next w:val="79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9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93"/>
    <w:next w:val="79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9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9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93"/>
    <w:next w:val="79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9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9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9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9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99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79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9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93"/>
    <w:next w:val="79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9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9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9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9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9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9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9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9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93"/>
    <w:next w:val="793"/>
    <w:uiPriority w:val="39"/>
    <w:unhideWhenUsed/>
    <w:pPr>
      <w:pBdr/>
      <w:spacing w:after="100"/>
      <w:ind/>
    </w:pPr>
  </w:style>
  <w:style w:type="paragraph" w:styleId="189">
    <w:name w:val="toc 2"/>
    <w:basedOn w:val="793"/>
    <w:next w:val="793"/>
    <w:uiPriority w:val="39"/>
    <w:unhideWhenUsed/>
    <w:pPr>
      <w:pBdr/>
      <w:spacing w:after="100"/>
      <w:ind w:left="220"/>
    </w:pPr>
  </w:style>
  <w:style w:type="paragraph" w:styleId="190">
    <w:name w:val="toc 3"/>
    <w:basedOn w:val="793"/>
    <w:next w:val="793"/>
    <w:uiPriority w:val="39"/>
    <w:unhideWhenUsed/>
    <w:pPr>
      <w:pBdr/>
      <w:spacing w:after="100"/>
      <w:ind w:left="440"/>
    </w:pPr>
  </w:style>
  <w:style w:type="paragraph" w:styleId="191">
    <w:name w:val="toc 4"/>
    <w:basedOn w:val="793"/>
    <w:next w:val="793"/>
    <w:uiPriority w:val="39"/>
    <w:unhideWhenUsed/>
    <w:pPr>
      <w:pBdr/>
      <w:spacing w:after="100"/>
      <w:ind w:left="660"/>
    </w:pPr>
  </w:style>
  <w:style w:type="paragraph" w:styleId="192">
    <w:name w:val="toc 5"/>
    <w:basedOn w:val="793"/>
    <w:next w:val="793"/>
    <w:uiPriority w:val="39"/>
    <w:unhideWhenUsed/>
    <w:pPr>
      <w:pBdr/>
      <w:spacing w:after="100"/>
      <w:ind w:left="880"/>
    </w:pPr>
  </w:style>
  <w:style w:type="paragraph" w:styleId="193">
    <w:name w:val="toc 6"/>
    <w:basedOn w:val="793"/>
    <w:next w:val="793"/>
    <w:uiPriority w:val="39"/>
    <w:unhideWhenUsed/>
    <w:pPr>
      <w:pBdr/>
      <w:spacing w:after="100"/>
      <w:ind w:left="1100"/>
    </w:pPr>
  </w:style>
  <w:style w:type="paragraph" w:styleId="194">
    <w:name w:val="toc 7"/>
    <w:basedOn w:val="793"/>
    <w:next w:val="793"/>
    <w:uiPriority w:val="39"/>
    <w:unhideWhenUsed/>
    <w:pPr>
      <w:pBdr/>
      <w:spacing w:after="100"/>
      <w:ind w:left="1320"/>
    </w:pPr>
  </w:style>
  <w:style w:type="paragraph" w:styleId="195">
    <w:name w:val="toc 8"/>
    <w:basedOn w:val="793"/>
    <w:next w:val="793"/>
    <w:uiPriority w:val="39"/>
    <w:unhideWhenUsed/>
    <w:pPr>
      <w:pBdr/>
      <w:spacing w:after="100"/>
      <w:ind w:left="1540"/>
    </w:pPr>
  </w:style>
  <w:style w:type="paragraph" w:styleId="196">
    <w:name w:val="toc 9"/>
    <w:basedOn w:val="793"/>
    <w:next w:val="79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93"/>
    <w:next w:val="793"/>
    <w:uiPriority w:val="99"/>
    <w:unhideWhenUsed/>
    <w:pPr>
      <w:pBdr/>
      <w:spacing w:after="0" w:afterAutospacing="0"/>
      <w:ind/>
    </w:pPr>
  </w:style>
  <w:style w:type="paragraph" w:styleId="793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794">
    <w:name w:val="Heading 1"/>
    <w:basedOn w:val="793"/>
    <w:next w:val="795"/>
    <w:link w:val="802"/>
    <w:uiPriority w:val="9"/>
    <w:qFormat/>
    <w:pPr>
      <w:keepNext w:val="true"/>
      <w:keepLines w:val="true"/>
      <w:pBdr/>
      <w:spacing w:after="120" w:before="360"/>
      <w:ind/>
      <w:outlineLvl w:val="0"/>
    </w:pPr>
    <w:rPr>
      <w:b/>
      <w:bCs/>
      <w:sz w:val="32"/>
    </w:rPr>
  </w:style>
  <w:style w:type="paragraph" w:styleId="795">
    <w:name w:val="Heading 2"/>
    <w:basedOn w:val="793"/>
    <w:next w:val="793"/>
    <w:link w:val="803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8"/>
      <w:szCs w:val="28"/>
    </w:rPr>
  </w:style>
  <w:style w:type="paragraph" w:styleId="796">
    <w:name w:val="Heading 3"/>
    <w:basedOn w:val="793"/>
    <w:next w:val="793"/>
    <w:link w:val="813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797">
    <w:name w:val="Heading 8"/>
    <w:basedOn w:val="793"/>
    <w:next w:val="793"/>
    <w:link w:val="812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798">
    <w:name w:val="Heading 9"/>
    <w:basedOn w:val="793"/>
    <w:next w:val="793"/>
    <w:link w:val="814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799" w:default="1">
    <w:name w:val="Default Paragraph Font"/>
    <w:uiPriority w:val="1"/>
    <w:semiHidden/>
    <w:unhideWhenUsed/>
    <w:pPr>
      <w:pBdr/>
      <w:spacing/>
      <w:ind/>
    </w:pPr>
  </w:style>
  <w:style w:type="table" w:styleId="80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1" w:default="1">
    <w:name w:val="No List"/>
    <w:uiPriority w:val="99"/>
    <w:semiHidden/>
    <w:unhideWhenUsed/>
    <w:pPr>
      <w:pBdr/>
      <w:spacing/>
      <w:ind/>
    </w:pPr>
  </w:style>
  <w:style w:type="character" w:styleId="802" w:customStyle="1">
    <w:name w:val="Heading 1 Char"/>
    <w:basedOn w:val="799"/>
    <w:link w:val="794"/>
    <w:uiPriority w:val="9"/>
    <w:pPr>
      <w:pBdr/>
      <w:spacing/>
      <w:ind/>
    </w:pPr>
    <w:rPr>
      <w:rFonts w:eastAsia="Times New Roman" w:cs="Arial"/>
      <w:b/>
      <w:bCs/>
      <w:sz w:val="32"/>
      <w:szCs w:val="22"/>
    </w:rPr>
  </w:style>
  <w:style w:type="character" w:styleId="803" w:customStyle="1">
    <w:name w:val="Heading 2 Char"/>
    <w:basedOn w:val="799"/>
    <w:link w:val="795"/>
    <w:uiPriority w:val="9"/>
    <w:pPr>
      <w:pBdr/>
      <w:spacing/>
      <w:ind/>
    </w:pPr>
    <w:rPr>
      <w:rFonts w:eastAsia="Times New Roman" w:cs="Arial"/>
      <w:b/>
      <w:bCs/>
      <w:sz w:val="28"/>
      <w:szCs w:val="28"/>
    </w:rPr>
  </w:style>
  <w:style w:type="paragraph" w:styleId="804">
    <w:name w:val="Header"/>
    <w:basedOn w:val="793"/>
    <w:link w:val="805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805" w:customStyle="1">
    <w:name w:val="Header Char"/>
    <w:basedOn w:val="799"/>
    <w:link w:val="804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806">
    <w:name w:val="Footer"/>
    <w:basedOn w:val="793"/>
    <w:link w:val="807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807" w:customStyle="1">
    <w:name w:val="Footer Char"/>
    <w:basedOn w:val="799"/>
    <w:link w:val="806"/>
    <w:uiPriority w:val="99"/>
    <w:pPr>
      <w:pBdr/>
      <w:spacing/>
      <w:ind/>
    </w:pPr>
    <w:rPr>
      <w:rFonts w:eastAsia="Times New Roman" w:cs="Arial"/>
      <w:b/>
    </w:rPr>
  </w:style>
  <w:style w:type="paragraph" w:styleId="808">
    <w:name w:val="Balloon Text"/>
    <w:basedOn w:val="793"/>
    <w:link w:val="809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809" w:customStyle="1">
    <w:name w:val="Balloon Text Char"/>
    <w:basedOn w:val="799"/>
    <w:link w:val="808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810">
    <w:name w:val="List Paragraph"/>
    <w:basedOn w:val="793"/>
    <w:uiPriority w:val="34"/>
    <w:qFormat/>
    <w:pPr>
      <w:pBdr/>
      <w:spacing/>
      <w:ind w:left="720"/>
      <w:contextualSpacing w:val="true"/>
    </w:pPr>
  </w:style>
  <w:style w:type="table" w:styleId="811">
    <w:name w:val="Table Grid"/>
    <w:basedOn w:val="800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2" w:customStyle="1">
    <w:name w:val="Heading 8 Char"/>
    <w:basedOn w:val="799"/>
    <w:link w:val="797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813" w:customStyle="1">
    <w:name w:val="Heading 3 Char"/>
    <w:basedOn w:val="799"/>
    <w:link w:val="796"/>
    <w:uiPriority w:val="9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814" w:customStyle="1">
    <w:name w:val="Heading 9 Char"/>
    <w:basedOn w:val="799"/>
    <w:link w:val="798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815" w:customStyle="1">
    <w:name w:val="Source"/>
    <w:basedOn w:val="793"/>
    <w:qFormat/>
    <w:pPr>
      <w:pBdr/>
      <w:spacing/>
      <w:ind w:right="1440"/>
      <w:jc w:val="right"/>
    </w:pPr>
    <w:rPr>
      <w:sz w:val="20"/>
      <w:szCs w:val="24"/>
    </w:rPr>
  </w:style>
  <w:style w:type="paragraph" w:styleId="816">
    <w:name w:val="Title"/>
    <w:basedOn w:val="793"/>
    <w:next w:val="793"/>
    <w:link w:val="817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817" w:customStyle="1">
    <w:name w:val="Title Char"/>
    <w:basedOn w:val="799"/>
    <w:link w:val="816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818" w:customStyle="1">
    <w:name w:val="table text"/>
    <w:basedOn w:val="793"/>
    <w:qFormat/>
    <w:pPr>
      <w:pBdr/>
      <w:spacing w:before="120"/>
      <w:ind/>
    </w:pPr>
  </w:style>
  <w:style w:type="character" w:styleId="819">
    <w:name w:val="annotation reference"/>
    <w:basedOn w:val="799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820">
    <w:name w:val="annotation text"/>
    <w:basedOn w:val="793"/>
    <w:link w:val="82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821" w:customStyle="1">
    <w:name w:val="Comment Text Char"/>
    <w:basedOn w:val="799"/>
    <w:link w:val="820"/>
    <w:uiPriority w:val="99"/>
    <w:semiHidden/>
    <w:pPr>
      <w:pBdr/>
      <w:spacing/>
      <w:ind/>
    </w:pPr>
    <w:rPr>
      <w:color w:val="000000"/>
    </w:rPr>
  </w:style>
  <w:style w:type="paragraph" w:styleId="822">
    <w:name w:val="annotation subject"/>
    <w:basedOn w:val="820"/>
    <w:next w:val="820"/>
    <w:link w:val="823"/>
    <w:uiPriority w:val="99"/>
    <w:semiHidden/>
    <w:unhideWhenUsed/>
    <w:pPr>
      <w:pBdr/>
      <w:spacing/>
      <w:ind/>
    </w:pPr>
    <w:rPr>
      <w:b/>
      <w:bCs/>
    </w:rPr>
  </w:style>
  <w:style w:type="character" w:styleId="823" w:customStyle="1">
    <w:name w:val="Comment Subject Char"/>
    <w:basedOn w:val="821"/>
    <w:link w:val="822"/>
    <w:uiPriority w:val="99"/>
    <w:semiHidden/>
    <w:pPr>
      <w:pBdr/>
      <w:spacing/>
      <w:ind/>
    </w:pPr>
    <w:rPr>
      <w:b/>
      <w:bCs/>
      <w:color w:val="000000"/>
    </w:rPr>
  </w:style>
  <w:style w:type="paragraph" w:styleId="824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825">
    <w:name w:val="Strong"/>
    <w:basedOn w:val="799"/>
    <w:uiPriority w:val="22"/>
    <w:qFormat/>
    <w:pPr>
      <w:pBdr/>
      <w:spacing/>
      <w:ind/>
    </w:pPr>
    <w:rPr>
      <w:b/>
      <w:bCs/>
    </w:rPr>
  </w:style>
  <w:style w:type="table" w:styleId="826" w:customStyle="1">
    <w:name w:val="Table Grid1"/>
    <w:basedOn w:val="800"/>
    <w:next w:val="811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7" w:customStyle="1">
    <w:name w:val="SAIT Caption"/>
    <w:basedOn w:val="793"/>
    <w:qFormat/>
    <w:pPr>
      <w:pBdr/>
      <w:spacing w:after="120" w:before="120"/>
      <w:ind/>
      <w:jc w:val="center"/>
    </w:pPr>
    <w:rPr>
      <w:b/>
    </w:rPr>
  </w:style>
  <w:style w:type="paragraph" w:styleId="828" w:customStyle="1">
    <w:name w:val="SAIT Copyright"/>
    <w:basedOn w:val="806"/>
    <w:qFormat/>
    <w:pPr>
      <w:pBdr/>
      <w:spacing/>
      <w:ind/>
    </w:pPr>
    <w:rPr>
      <w:b w:val="0"/>
    </w:rPr>
  </w:style>
  <w:style w:type="paragraph" w:styleId="829" w:customStyle="1">
    <w:name w:val="Page No."/>
    <w:basedOn w:val="806"/>
    <w:qFormat/>
    <w:pPr>
      <w:pBdr/>
      <w:spacing/>
      <w:ind/>
      <w:jc w:val="right"/>
    </w:pPr>
  </w:style>
  <w:style w:type="paragraph" w:styleId="830" w:customStyle="1">
    <w:name w:val="Table Heading"/>
    <w:basedOn w:val="793"/>
    <w:qFormat/>
    <w:pPr>
      <w:pBdr/>
      <w:spacing w:after="60" w:before="60"/>
      <w:ind/>
      <w:jc w:val="center"/>
    </w:pPr>
    <w:rPr>
      <w:b/>
    </w:rPr>
  </w:style>
  <w:style w:type="paragraph" w:styleId="831" w:customStyle="1">
    <w:name w:val="Table Text"/>
    <w:basedOn w:val="793"/>
    <w:qFormat/>
    <w:pPr>
      <w:pBdr/>
      <w:spacing w:after="60" w:before="60"/>
      <w:ind/>
    </w:pPr>
  </w:style>
  <w:style w:type="paragraph" w:styleId="832" w:customStyle="1">
    <w:name w:val="Column Heading"/>
    <w:basedOn w:val="793"/>
    <w:qFormat/>
    <w:pPr>
      <w:pBdr/>
      <w:spacing w:after="60" w:before="60"/>
      <w:ind/>
      <w:jc w:val="center"/>
    </w:pPr>
    <w:rPr>
      <w:b/>
    </w:rPr>
  </w:style>
  <w:style w:type="paragraph" w:styleId="833" w:customStyle="1">
    <w:name w:val="Footer Copyright"/>
    <w:basedOn w:val="828"/>
    <w:qFormat/>
    <w:pPr>
      <w:pBdr/>
      <w:spacing/>
      <w:ind/>
    </w:pPr>
  </w:style>
  <w:style w:type="paragraph" w:styleId="834" w:customStyle="1">
    <w:name w:val="Copyright Footer"/>
    <w:basedOn w:val="793"/>
    <w:qFormat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Relationship Id="rId15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C231A-3FAA-4859-A6B6-E67C8E5D74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ECAD83-EE95-4420-8625-D618153732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309AEC-28B3-4DD8-ACA7-603908EF153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5A3A700C-1C69-448E-ACF3-E500E30C0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>SAIT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Qaiser Rehman</cp:lastModifiedBy>
  <cp:revision>5</cp:revision>
  <dcterms:created xsi:type="dcterms:W3CDTF">2025-02-05T20:32:00Z</dcterms:created>
  <dcterms:modified xsi:type="dcterms:W3CDTF">2025-07-02T18:15:46Z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