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240" w:lineRule="auto"/>
        <w:ind/>
        <w:jc w:val="center"/>
        <w:rPr>
          <w:b/>
          <w:sz w:val="24"/>
        </w:rPr>
      </w:pPr>
      <w:r>
        <w:rPr>
          <w:b/>
          <w:sz w:val="24"/>
        </w:rPr>
        <w:t xml:space="preserve">Worksheet #1</w:t>
      </w:r>
      <w:r>
        <w:rPr>
          <w:b/>
          <w:sz w:val="24"/>
        </w:rPr>
        <w:t xml:space="preserve"> Part A &amp; B</w:t>
      </w:r>
      <w:r>
        <w:rPr>
          <w:b/>
          <w:sz w:val="24"/>
        </w:rPr>
        <w:t xml:space="preserve"> -</w:t>
      </w:r>
      <w:r>
        <w:rPr>
          <w:b/>
          <w:sz w:val="24"/>
        </w:rPr>
        <w:t xml:space="preserve"> Table of Common Medications</w:t>
      </w:r>
      <w:r>
        <w:rPr>
          <w:b/>
          <w:sz w:val="24"/>
        </w:rPr>
        <w:t xml:space="preserve"> – ANSWER KEY</w:t>
      </w:r>
      <w:r>
        <w:rPr>
          <w:b/>
          <w:sz w:val="24"/>
        </w:rPr>
      </w:r>
    </w:p>
    <w:tbl>
      <w:tblPr>
        <w:tblStyle w:val="871"/>
        <w:tblpPr w:horzAnchor="margin" w:tblpXSpec="left" w:vertAnchor="page" w:tblpY="2506" w:leftFromText="180" w:topFromText="0" w:rightFromText="180" w:bottomFromText="0"/>
        <w:tblW w:w="9351" w:type="dxa"/>
        <w:tblBorders/>
        <w:tblLook w:val="04A0" w:firstRow="1" w:lastRow="0" w:firstColumn="1" w:lastColumn="0" w:noHBand="0" w:noVBand="1"/>
      </w:tblPr>
      <w:tblGrid>
        <w:gridCol w:w="2759"/>
        <w:gridCol w:w="6592"/>
      </w:tblGrid>
      <w:tr>
        <w:trPr>
          <w:tblHeader/>
        </w:trPr>
        <w:tc>
          <w:tcPr>
            <w:shd w:val="clear" w:color="auto" w:fill="d9d9d9" w:themeFill="background1" w:themeFillShade="D9"/>
            <w:tcBorders/>
            <w:tcW w:w="2759" w:type="dxa"/>
            <w:vAlign w:val="center"/>
            <w:textDirection w:val="lrTb"/>
            <w:noWrap w:val="false"/>
          </w:tcPr>
          <w:p>
            <w:pPr>
              <w:pStyle w:val="857"/>
              <w:keepNext w:val="false"/>
              <w:keepLines w:val="false"/>
              <w:pBdr/>
              <w:spacing/>
              <w:ind/>
              <w:rPr>
                <w:sz w:val="24"/>
                <w:szCs w:val="24"/>
              </w:rPr>
            </w:pPr>
            <w:r>
              <w:rPr>
                <w:b/>
                <w:sz w:val="24"/>
              </w:rPr>
              <w:t xml:space="preserve">Purpose: </w:t>
            </w:r>
            <w:r>
              <w:rPr>
                <w:i/>
              </w:rPr>
              <w:t xml:space="preserve">Review to prepare for assessment</w:t>
            </w:r>
            <w:r>
              <w:rPr>
                <w:sz w:val="24"/>
                <w:szCs w:val="24"/>
              </w:rPr>
              <w:t xml:space="preserve">ategory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6592" w:type="dxa"/>
            <w:vAlign w:val="center"/>
            <w:textDirection w:val="lrTb"/>
            <w:noWrap w:val="false"/>
          </w:tcPr>
          <w:p>
            <w:pPr>
              <w:pStyle w:val="857"/>
              <w:keepNext w:val="false"/>
              <w:keepLines w:val="false"/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</w:t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65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Tranquilizer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Reduce anxiety</w:t>
            </w:r>
            <w:r>
              <w:t xml:space="preserve">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Hypoglycemics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color w:val="ff0000"/>
              </w:rPr>
            </w:pPr>
            <w:r>
              <w:t xml:space="preserve">Used to control the level of glucose in the blood, primarily as a treatment for diabetes mellitus</w:t>
            </w:r>
            <w:r>
              <w:t xml:space="preserve"> (Type 2).</w:t>
            </w:r>
            <w:r>
              <w:rPr>
                <w:color w:val="ff0000"/>
              </w:rPr>
            </w:r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Antidiabetic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R</w:t>
            </w:r>
            <w:r>
              <w:t xml:space="preserve">equired for patients who have difficulty maintaining proper blood sugar </w:t>
            </w:r>
            <w:r>
              <w:t xml:space="preserve">balance. </w:t>
            </w:r>
            <w:r/>
          </w:p>
        </w:tc>
      </w:tr>
      <w:tr>
        <w:trPr>
          <w:trHeight w:val="373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Vasodilator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Relax the walls of blood vessels, permitting a greater flow of blood.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Anticholinergic</w:t>
            </w:r>
            <w:r>
              <w:rPr>
                <w:b/>
              </w:rPr>
            </w:r>
          </w:p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(anti-spasmodic)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Depress</w:t>
            </w:r>
            <w:r>
              <w:t xml:space="preserve"> </w:t>
            </w:r>
            <w:r>
              <w:t xml:space="preserve">the parasympathetic nervous system </w:t>
            </w:r>
            <w:r>
              <w:t xml:space="preserve">to reduce </w:t>
            </w:r>
            <w:r>
              <w:t xml:space="preserve">spasms of </w:t>
            </w:r>
            <w:r>
              <w:t xml:space="preserve">smooth muscle tissue and </w:t>
            </w:r>
            <w:r>
              <w:t xml:space="preserve">decrease contractions, sal</w:t>
            </w:r>
            <w:r>
              <w:t xml:space="preserve">i</w:t>
            </w:r>
            <w:r>
              <w:t xml:space="preserve">v</w:t>
            </w:r>
            <w:r>
              <w:t xml:space="preserve">a, bronchial mucus and digestive secretions. U</w:t>
            </w:r>
            <w:r>
              <w:t xml:space="preserve">sed in preparation for surgery and endoscopy to suppress secretions.</w:t>
            </w:r>
            <w:r/>
          </w:p>
        </w:tc>
      </w:tr>
      <w:tr>
        <w:trPr>
          <w:trHeight w:val="367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Diuretic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Stimulate the flow of urine</w:t>
            </w:r>
            <w:r>
              <w:t xml:space="preserve">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Adrenergic</w:t>
            </w:r>
            <w:r>
              <w:rPr>
                <w:b/>
              </w:rPr>
            </w:r>
          </w:p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(Vasoconstrictor)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Stimulate</w:t>
            </w:r>
            <w:r>
              <w:t xml:space="preserve"> </w:t>
            </w:r>
            <w:r>
              <w:t xml:space="preserve">the sympathetic nervous system</w:t>
            </w:r>
            <w:r>
              <w:t xml:space="preserve"> causing </w:t>
            </w:r>
            <w:r>
              <w:t xml:space="preserve">bronchodilation, vasoconstriction</w:t>
            </w:r>
            <w:r>
              <w:t xml:space="preserve"> </w:t>
            </w:r>
            <w:r>
              <w:t xml:space="preserve">and </w:t>
            </w:r>
            <w:r>
              <w:t xml:space="preserve">cardiac stimulation.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Sedative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Depress and relax the CNS and reduce mental activity.</w:t>
            </w:r>
            <w:r>
              <w:t xml:space="preserve"> 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Contrast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Used to enhance the present</w:t>
            </w:r>
            <w:r>
              <w:t xml:space="preserve">ation of a structure, organ, etc. during diagnostic imaging.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Anticoagulant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Inhibit the clotting mechanism of </w:t>
            </w:r>
            <w:r>
              <w:t xml:space="preserve">blood;</w:t>
            </w:r>
            <w:r>
              <w:t xml:space="preserve"> used to keep IV lines and arterial catheters op</w:t>
            </w:r>
            <w:r>
              <w:t xml:space="preserve">en during diagnostic procedures and to p</w:t>
            </w:r>
            <w:r>
              <w:t xml:space="preserve">revent blood clots following heart attack or stroke.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Bronchodilators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Dilate smooth muscle, used to treat asthma attacks and some allergic reactions.</w:t>
            </w:r>
            <w:r/>
          </w:p>
        </w:tc>
      </w:tr>
      <w:tr>
        <w:trPr>
          <w:trHeight w:val="611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Narcotics/Opioids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Stimulate central nervous system receptors known as opioid receptors, causing a decrease in the perception of pain.</w:t>
            </w:r>
            <w:r/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Antianxiety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color w:val="ff0000"/>
              </w:rPr>
            </w:pPr>
            <w:r>
              <w:t xml:space="preserve">Act</w:t>
            </w:r>
            <w:r>
              <w:t xml:space="preserve"> by blocking stimulation in the limbic and cortical systems of the brain</w:t>
            </w:r>
            <w:r>
              <w:t xml:space="preserve">.</w:t>
            </w:r>
            <w:r>
              <w:rPr>
                <w:color w:val="ff0000"/>
              </w:rPr>
            </w:r>
          </w:p>
        </w:tc>
      </w:tr>
      <w:tr>
        <w:trPr/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Glucocorticoids/NSAIDs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U</w:t>
            </w:r>
            <w:r>
              <w:t xml:space="preserve">sed </w:t>
            </w:r>
            <w:r>
              <w:t xml:space="preserve">to treat pain associated with inflammation such as arthritis, vasculitis, broken bones and surgical incisions.</w:t>
            </w:r>
            <w:r/>
          </w:p>
        </w:tc>
      </w:tr>
      <w:tr>
        <w:trPr>
          <w:trHeight w:val="330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Antiperistaltic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Reduce diarrhea. </w:t>
            </w:r>
            <w:r/>
          </w:p>
        </w:tc>
      </w:tr>
      <w:tr>
        <w:trPr>
          <w:trHeight w:val="170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Cathartic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Stimulate </w:t>
            </w:r>
            <w:r>
              <w:t xml:space="preserve">peristalsis,</w:t>
            </w:r>
            <w:r>
              <w:t xml:space="preserve"> promote defecation</w:t>
            </w:r>
            <w:r>
              <w:t xml:space="preserve">.</w:t>
            </w:r>
            <w:r/>
          </w:p>
        </w:tc>
      </w:tr>
      <w:tr>
        <w:trPr>
          <w:trHeight w:val="396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Antihistamine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Relieves the symptoms of allergic reactions</w:t>
            </w:r>
            <w:r/>
          </w:p>
        </w:tc>
      </w:tr>
      <w:tr>
        <w:trPr>
          <w:trHeight w:val="656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Fluids &amp; Electrolytes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Provide balance of body fluids, </w:t>
            </w:r>
            <w:r>
              <w:t xml:space="preserve">used to treat and prevent dehydration.</w:t>
            </w:r>
            <w:r/>
          </w:p>
        </w:tc>
      </w:tr>
      <w:tr>
        <w:trPr>
          <w:trHeight w:val="170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Antidepressant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Used to r</w:t>
            </w:r>
            <w:r>
              <w:t xml:space="preserve">elieve or prevent depression</w:t>
            </w:r>
            <w:r>
              <w:t xml:space="preserve">.</w:t>
            </w:r>
            <w:r/>
          </w:p>
        </w:tc>
      </w:tr>
      <w:tr>
        <w:trPr>
          <w:trHeight w:val="445"/>
        </w:trPr>
        <w:tc>
          <w:tcPr>
            <w:tcBorders/>
            <w:tcW w:w="275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Analgesic/Anesthetic</w:t>
            </w:r>
            <w:r>
              <w:rPr>
                <w:b/>
              </w:rPr>
            </w:r>
          </w:p>
        </w:tc>
        <w:tc>
          <w:tcPr>
            <w:tcBorders/>
            <w:tcW w:w="659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t xml:space="preserve">R</w:t>
            </w:r>
            <w:r>
              <w:t xml:space="preserve">elieve pain</w:t>
            </w:r>
            <w:r>
              <w:t xml:space="preserve">, p</w:t>
            </w:r>
            <w:r>
              <w:t xml:space="preserve">romote loss of feeling or sensation.</w:t>
            </w:r>
            <w:r/>
          </w:p>
        </w:tc>
      </w:tr>
    </w:tbl>
    <w:p>
      <w:pPr>
        <w:pBdr/>
        <w:spacing w:line="240" w:lineRule="auto"/>
        <w:ind/>
        <w:rPr>
          <w:i/>
        </w:rPr>
      </w:pPr>
      <w:r>
        <w:rPr>
          <w:i/>
        </w:rPr>
      </w:r>
      <w:r>
        <w:rPr>
          <w:i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869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1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65"/>
            <w:pBdr/>
            <w:spacing w:after="60"/>
            <w:ind/>
            <w:rPr/>
          </w:pPr>
          <w:r>
            <w:t xml:space="preserve">Patient Care</w:t>
          </w:r>
          <w:r/>
          <w:r/>
        </w:p>
      </w:tc>
    </w:tr>
  </w:tbl>
  <w:p>
    <w:pPr>
      <w:pStyle w:val="86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7"/>
      <w:pBdr/>
      <w:spacing w:after="0"/>
      <w:ind/>
      <w:jc w:val="left"/>
      <w:rPr/>
    </w:pPr>
    <w:r>
      <w:t xml:space="preserve"> </w: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t xml:space="preserve">   </w:t>
    </w:r>
    <w:r>
      <w:t xml:space="preserve">Patient Care </w:t>
    </w:r>
    <w:r/>
  </w:p>
  <w:p>
    <w:pPr>
      <w:pStyle w:val="863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jc w:val="center"/>
                            <w:rPr/>
                          </w:pPr>
                          <w:r/>
                          <w:r/>
                        </w:p>
                      </w:txbxContent>
                    </wps:txbx>
                    <wps:bodyPr anchor="ctr"/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-text-anchor:middle;visibility:visible;" fillcolor="#005EB8" stroked="f">
              <v:textbox inset="0,0,0,0">
                <w:txbxContent>
                  <w:p>
                    <w:pPr>
                      <w:pBdr/>
                      <w:spacing/>
                      <w:ind/>
                      <w:jc w:val="center"/>
                      <w:rPr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eastAsia="Times New Roman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360"/>
      </w:pPr>
      <w:rPr>
        <w:rFonts w:hint="default" w:ascii="Calibri" w:hAnsi="Calibri" w:cs="Calibri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Calibri" w:hAnsi="Calibri" w:cs="Calibri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Calibri" w:hAnsi="Calibri" w:cs="Calibri" w:eastAsiaTheme="minorHAns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2"/>
  </w:num>
  <w:num w:numId="2">
    <w:abstractNumId w:val="22"/>
  </w:num>
  <w:num w:numId="3">
    <w:abstractNumId w:val="13"/>
  </w:num>
  <w:num w:numId="4">
    <w:abstractNumId w:val="10"/>
  </w:num>
  <w:num w:numId="5">
    <w:abstractNumId w:val="18"/>
  </w:num>
  <w:num w:numId="6">
    <w:abstractNumId w:val="0"/>
  </w:num>
  <w:num w:numId="7">
    <w:abstractNumId w:val="19"/>
  </w:num>
  <w:num w:numId="8">
    <w:abstractNumId w:val="3"/>
  </w:num>
  <w:num w:numId="9">
    <w:abstractNumId w:val="21"/>
  </w:num>
  <w:num w:numId="10">
    <w:abstractNumId w:val="20"/>
  </w:num>
  <w:num w:numId="11">
    <w:abstractNumId w:val="6"/>
  </w:num>
  <w:num w:numId="12">
    <w:abstractNumId w:val="9"/>
  </w:num>
  <w:num w:numId="13">
    <w:abstractNumId w:val="4"/>
  </w:num>
  <w:num w:numId="14">
    <w:abstractNumId w:val="17"/>
  </w:num>
  <w:num w:numId="15">
    <w:abstractNumId w:val="1"/>
  </w:num>
  <w:num w:numId="16">
    <w:abstractNumId w:val="2"/>
  </w:num>
  <w:num w:numId="17">
    <w:abstractNumId w:val="16"/>
  </w:num>
  <w:num w:numId="18">
    <w:abstractNumId w:val="15"/>
  </w:num>
  <w:num w:numId="19">
    <w:abstractNumId w:val="5"/>
  </w:num>
  <w:num w:numId="20">
    <w:abstractNumId w:val="14"/>
  </w:num>
  <w:num w:numId="21">
    <w:abstractNumId w:val="11"/>
  </w:num>
  <w:num w:numId="22">
    <w:abstractNumId w:val="7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6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6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6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856"/>
    <w:next w:val="856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56"/>
    <w:next w:val="85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56"/>
    <w:next w:val="85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56"/>
    <w:next w:val="85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56"/>
    <w:next w:val="85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56"/>
    <w:next w:val="85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56"/>
    <w:next w:val="85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1">
    <w:name w:val="Heading 3 Char"/>
    <w:basedOn w:val="85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5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5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5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5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5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5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56"/>
    <w:next w:val="85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5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56"/>
    <w:next w:val="85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5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5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56"/>
    <w:next w:val="85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5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5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56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5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5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5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5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5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56"/>
    <w:next w:val="8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5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5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5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5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5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5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56"/>
    <w:next w:val="856"/>
    <w:uiPriority w:val="39"/>
    <w:unhideWhenUsed/>
    <w:pPr>
      <w:pBdr/>
      <w:spacing w:after="100"/>
      <w:ind/>
    </w:pPr>
  </w:style>
  <w:style w:type="paragraph" w:styleId="189">
    <w:name w:val="toc 2"/>
    <w:basedOn w:val="856"/>
    <w:next w:val="856"/>
    <w:uiPriority w:val="39"/>
    <w:unhideWhenUsed/>
    <w:pPr>
      <w:pBdr/>
      <w:spacing w:after="100"/>
      <w:ind w:left="220"/>
    </w:pPr>
  </w:style>
  <w:style w:type="paragraph" w:styleId="190">
    <w:name w:val="toc 3"/>
    <w:basedOn w:val="856"/>
    <w:next w:val="856"/>
    <w:uiPriority w:val="39"/>
    <w:unhideWhenUsed/>
    <w:pPr>
      <w:pBdr/>
      <w:spacing w:after="100"/>
      <w:ind w:left="440"/>
    </w:pPr>
  </w:style>
  <w:style w:type="paragraph" w:styleId="191">
    <w:name w:val="toc 4"/>
    <w:basedOn w:val="856"/>
    <w:next w:val="856"/>
    <w:uiPriority w:val="39"/>
    <w:unhideWhenUsed/>
    <w:pPr>
      <w:pBdr/>
      <w:spacing w:after="100"/>
      <w:ind w:left="660"/>
    </w:pPr>
  </w:style>
  <w:style w:type="paragraph" w:styleId="192">
    <w:name w:val="toc 5"/>
    <w:basedOn w:val="856"/>
    <w:next w:val="856"/>
    <w:uiPriority w:val="39"/>
    <w:unhideWhenUsed/>
    <w:pPr>
      <w:pBdr/>
      <w:spacing w:after="100"/>
      <w:ind w:left="880"/>
    </w:pPr>
  </w:style>
  <w:style w:type="paragraph" w:styleId="193">
    <w:name w:val="toc 6"/>
    <w:basedOn w:val="856"/>
    <w:next w:val="856"/>
    <w:uiPriority w:val="39"/>
    <w:unhideWhenUsed/>
    <w:pPr>
      <w:pBdr/>
      <w:spacing w:after="100"/>
      <w:ind w:left="1100"/>
    </w:pPr>
  </w:style>
  <w:style w:type="paragraph" w:styleId="194">
    <w:name w:val="toc 7"/>
    <w:basedOn w:val="856"/>
    <w:next w:val="856"/>
    <w:uiPriority w:val="39"/>
    <w:unhideWhenUsed/>
    <w:pPr>
      <w:pBdr/>
      <w:spacing w:after="100"/>
      <w:ind w:left="1320"/>
    </w:pPr>
  </w:style>
  <w:style w:type="paragraph" w:styleId="195">
    <w:name w:val="toc 8"/>
    <w:basedOn w:val="856"/>
    <w:next w:val="856"/>
    <w:uiPriority w:val="39"/>
    <w:unhideWhenUsed/>
    <w:pPr>
      <w:pBdr/>
      <w:spacing w:after="100"/>
      <w:ind w:left="1540"/>
    </w:pPr>
  </w:style>
  <w:style w:type="paragraph" w:styleId="196">
    <w:name w:val="toc 9"/>
    <w:basedOn w:val="856"/>
    <w:next w:val="85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56"/>
    <w:next w:val="856"/>
    <w:uiPriority w:val="99"/>
    <w:unhideWhenUsed/>
    <w:pPr>
      <w:pBdr/>
      <w:spacing w:after="0" w:afterAutospacing="0"/>
      <w:ind/>
    </w:pPr>
  </w:style>
  <w:style w:type="paragraph" w:styleId="856" w:default="1">
    <w:name w:val="Normal"/>
    <w:qFormat/>
    <w:pPr>
      <w:pBdr/>
      <w:spacing w:after="0" w:line="276" w:lineRule="auto"/>
      <w:ind/>
    </w:pPr>
    <w:rPr>
      <w:rFonts w:ascii="Arial" w:hAnsi="Arial" w:eastAsia="Times New Roman" w:cs="Arial"/>
      <w:lang w:val="en-US"/>
    </w:rPr>
  </w:style>
  <w:style w:type="paragraph" w:styleId="857">
    <w:name w:val="Heading 1"/>
    <w:basedOn w:val="856"/>
    <w:next w:val="858"/>
    <w:link w:val="872"/>
    <w:uiPriority w:val="9"/>
    <w:qFormat/>
    <w:pPr>
      <w:keepNext w:val="true"/>
      <w:keepLines w:val="true"/>
      <w:pBdr/>
      <w:spacing/>
      <w:ind/>
      <w:jc w:val="center"/>
      <w:outlineLvl w:val="0"/>
    </w:pPr>
    <w:rPr>
      <w:b/>
      <w:bCs/>
      <w:sz w:val="32"/>
    </w:rPr>
  </w:style>
  <w:style w:type="paragraph" w:styleId="858">
    <w:name w:val="Heading 2"/>
    <w:basedOn w:val="856"/>
    <w:next w:val="856"/>
    <w:link w:val="873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859" w:default="1">
    <w:name w:val="Default Paragraph Font"/>
    <w:uiPriority w:val="1"/>
    <w:semiHidden/>
    <w:unhideWhenUsed/>
    <w:pPr>
      <w:pBdr/>
      <w:spacing/>
      <w:ind/>
    </w:pPr>
  </w:style>
  <w:style w:type="table" w:styleId="86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1" w:default="1">
    <w:name w:val="No List"/>
    <w:uiPriority w:val="99"/>
    <w:semiHidden/>
    <w:unhideWhenUsed/>
    <w:pPr>
      <w:pBdr/>
      <w:spacing/>
      <w:ind/>
    </w:pPr>
  </w:style>
  <w:style w:type="paragraph" w:styleId="862">
    <w:name w:val="List Paragraph"/>
    <w:basedOn w:val="856"/>
    <w:uiPriority w:val="34"/>
    <w:qFormat/>
    <w:pPr>
      <w:pBdr/>
      <w:spacing/>
      <w:ind w:left="720"/>
      <w:contextualSpacing w:val="true"/>
    </w:pPr>
  </w:style>
  <w:style w:type="paragraph" w:styleId="863">
    <w:name w:val="Header"/>
    <w:basedOn w:val="856"/>
    <w:link w:val="864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64" w:customStyle="1">
    <w:name w:val="Header Char"/>
    <w:basedOn w:val="859"/>
    <w:link w:val="863"/>
    <w:uiPriority w:val="99"/>
    <w:pPr>
      <w:pBdr/>
      <w:spacing/>
      <w:ind/>
    </w:pPr>
    <w:rPr>
      <w:rFonts w:ascii="Arial" w:hAnsi="Arial" w:eastAsia="Times New Roman" w:cs="Arial"/>
      <w:lang w:val="en-US"/>
    </w:rPr>
  </w:style>
  <w:style w:type="paragraph" w:styleId="865">
    <w:name w:val="Footer"/>
    <w:basedOn w:val="856"/>
    <w:link w:val="866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66" w:customStyle="1">
    <w:name w:val="Footer Char"/>
    <w:basedOn w:val="859"/>
    <w:link w:val="865"/>
    <w:uiPriority w:val="99"/>
    <w:pPr>
      <w:pBdr/>
      <w:spacing/>
      <w:ind/>
    </w:pPr>
    <w:rPr>
      <w:rFonts w:ascii="Arial" w:hAnsi="Arial" w:eastAsia="Times New Roman" w:cs="Arial"/>
      <w:lang w:val="en-US"/>
    </w:rPr>
  </w:style>
  <w:style w:type="paragraph" w:styleId="867">
    <w:name w:val="Title"/>
    <w:basedOn w:val="856"/>
    <w:next w:val="856"/>
    <w:link w:val="868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68" w:customStyle="1">
    <w:name w:val="Title Char"/>
    <w:basedOn w:val="859"/>
    <w:link w:val="867"/>
    <w:uiPriority w:val="10"/>
    <w:pPr>
      <w:pBdr/>
      <w:spacing/>
      <w:ind/>
    </w:pPr>
    <w:rPr>
      <w:rFonts w:ascii="Arial" w:hAnsi="Arial" w:eastAsia="Times New Roman" w:cs="Arial"/>
      <w:b/>
      <w:smallCaps/>
      <w:sz w:val="32"/>
      <w:lang w:val="en-US"/>
    </w:rPr>
  </w:style>
  <w:style w:type="paragraph" w:styleId="869" w:customStyle="1">
    <w:name w:val="Page No."/>
    <w:basedOn w:val="865"/>
    <w:qFormat/>
    <w:pPr>
      <w:pBdr/>
      <w:spacing w:before="60"/>
      <w:ind/>
      <w:jc w:val="right"/>
    </w:pPr>
    <w:rPr>
      <w:b/>
      <w:sz w:val="20"/>
      <w:szCs w:val="20"/>
    </w:rPr>
  </w:style>
  <w:style w:type="paragraph" w:styleId="870" w:customStyle="1">
    <w:name w:val="Copyright Footer"/>
    <w:basedOn w:val="856"/>
    <w:qFormat/>
    <w:pPr>
      <w:pBdr/>
      <w:spacing/>
      <w:ind/>
    </w:pPr>
    <w:rPr>
      <w:sz w:val="20"/>
      <w:szCs w:val="20"/>
    </w:rPr>
  </w:style>
  <w:style w:type="table" w:styleId="871">
    <w:name w:val="Table Grid"/>
    <w:basedOn w:val="86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2" w:customStyle="1">
    <w:name w:val="Heading 1 Char"/>
    <w:basedOn w:val="859"/>
    <w:link w:val="857"/>
    <w:uiPriority w:val="9"/>
    <w:pPr>
      <w:pBdr/>
      <w:spacing/>
      <w:ind/>
    </w:pPr>
    <w:rPr>
      <w:rFonts w:ascii="Arial" w:hAnsi="Arial" w:eastAsia="Times New Roman" w:cs="Arial"/>
      <w:b/>
      <w:bCs/>
      <w:sz w:val="32"/>
      <w:lang w:val="en-US"/>
    </w:rPr>
  </w:style>
  <w:style w:type="character" w:styleId="873" w:customStyle="1">
    <w:name w:val="Heading 2 Char"/>
    <w:basedOn w:val="859"/>
    <w:link w:val="85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1B303-F6E5-4490-BE95-476906AB86AE}"/>
</file>

<file path=customXml/itemProps2.xml><?xml version="1.0" encoding="utf-8"?>
<ds:datastoreItem xmlns:ds="http://schemas.openxmlformats.org/officeDocument/2006/customXml" ds:itemID="{DECFBA6E-B799-4884-8DE1-1AC4D26547E8}"/>
</file>

<file path=customXml/itemProps3.xml><?xml version="1.0" encoding="utf-8"?>
<ds:datastoreItem xmlns:ds="http://schemas.openxmlformats.org/officeDocument/2006/customXml" ds:itemID="{25E53919-DEC9-46CD-99BA-C094A085DF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Qaiser Rehman</cp:lastModifiedBy>
  <cp:revision>3</cp:revision>
  <dcterms:created xsi:type="dcterms:W3CDTF">2024-04-23T17:54:00Z</dcterms:created>
  <dcterms:modified xsi:type="dcterms:W3CDTF">2025-07-02T18:25:52Z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