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F9025" w14:textId="77777777" w:rsidR="004D1107" w:rsidRDefault="009F59FA" w:rsidP="00135571">
      <w:pPr>
        <w:pStyle w:val="Heading2"/>
        <w:rPr>
          <w:sz w:val="28"/>
        </w:rPr>
      </w:pPr>
      <w:r>
        <w:rPr>
          <w:sz w:val="28"/>
        </w:rPr>
        <w:t>C</w:t>
      </w:r>
      <w:r w:rsidR="006C3D3E" w:rsidRPr="006C3D3E">
        <w:rPr>
          <w:sz w:val="28"/>
        </w:rPr>
        <w:t>ommon Musculoskeletal Injections</w:t>
      </w:r>
      <w:r w:rsidR="003B6646">
        <w:rPr>
          <w:sz w:val="28"/>
        </w:rPr>
        <w:t xml:space="preserve"> </w:t>
      </w:r>
    </w:p>
    <w:p w14:paraId="4FF990F1" w14:textId="77777777" w:rsidR="00845AC8" w:rsidRDefault="00845AC8" w:rsidP="00845AC8">
      <w:r>
        <w:t>A wide variety of different musculoskeletal (MSK) structures can be injected using fluoroscopy. Below is a list of several general types of MSK injections.</w:t>
      </w:r>
    </w:p>
    <w:p w14:paraId="343A3B8D" w14:textId="77777777" w:rsidR="0061330A" w:rsidRDefault="0061330A" w:rsidP="00845AC8">
      <w:r>
        <w:t>Imaging of these injections is usually only done on one plane</w:t>
      </w:r>
      <w:r w:rsidR="001B01C8">
        <w:t>, either AP/PA or lateral.</w:t>
      </w:r>
    </w:p>
    <w:p w14:paraId="390B6D6F" w14:textId="77777777" w:rsidR="00845AC8" w:rsidRPr="00845AC8" w:rsidRDefault="00845AC8" w:rsidP="00845AC8">
      <w:pPr>
        <w:pStyle w:val="ListParagraph"/>
        <w:numPr>
          <w:ilvl w:val="0"/>
          <w:numId w:val="8"/>
        </w:numPr>
      </w:pPr>
      <w:r>
        <w:rPr>
          <w:b/>
        </w:rPr>
        <w:t xml:space="preserve">Peripheral Joint Injection - </w:t>
      </w:r>
      <w:r w:rsidR="004B14D9">
        <w:rPr>
          <w:b/>
        </w:rPr>
        <w:t>Corticosteroid</w:t>
      </w:r>
    </w:p>
    <w:p w14:paraId="067213AB" w14:textId="77777777" w:rsidR="00845AC8" w:rsidRDefault="00845AC8" w:rsidP="00845AC8">
      <w:pPr>
        <w:pStyle w:val="ListParagraph"/>
        <w:numPr>
          <w:ilvl w:val="1"/>
          <w:numId w:val="8"/>
        </w:numPr>
      </w:pPr>
      <w:r>
        <w:t>Most joints, large or small, can be injected with corticosteroid to reduce inflammation and pain.</w:t>
      </w:r>
    </w:p>
    <w:p w14:paraId="61694084" w14:textId="77777777" w:rsidR="004B14D9" w:rsidRDefault="004B14D9" w:rsidP="00845AC8">
      <w:pPr>
        <w:pStyle w:val="ListParagraph"/>
        <w:numPr>
          <w:ilvl w:val="1"/>
          <w:numId w:val="8"/>
        </w:numPr>
      </w:pPr>
      <w:r>
        <w:t>Tends to wear off fairly quickly (approx. 3 months), but can be repeated indefinitely.</w:t>
      </w:r>
    </w:p>
    <w:p w14:paraId="1DDCE70A" w14:textId="77777777" w:rsidR="004B14D9" w:rsidRDefault="004B14D9" w:rsidP="00845AC8">
      <w:pPr>
        <w:pStyle w:val="ListParagraph"/>
        <w:numPr>
          <w:ilvl w:val="1"/>
          <w:numId w:val="8"/>
        </w:numPr>
      </w:pPr>
      <w:r>
        <w:t>Simple, fast injection procedure that is well tolerated by most patients with few risks.</w:t>
      </w:r>
    </w:p>
    <w:p w14:paraId="3E98315E" w14:textId="77777777" w:rsidR="004B14D9" w:rsidRDefault="004B14D9" w:rsidP="00B15BFF">
      <w:pPr>
        <w:spacing w:line="240" w:lineRule="auto"/>
      </w:pPr>
      <w:r w:rsidRPr="004B14D9">
        <w:rPr>
          <w:noProof/>
        </w:rPr>
        <w:drawing>
          <wp:inline distT="0" distB="0" distL="0" distR="0" wp14:anchorId="586D167A" wp14:editId="6C04367C">
            <wp:extent cx="2752725" cy="2786158"/>
            <wp:effectExtent l="0" t="0" r="0" b="0"/>
            <wp:docPr id="5" name="Content Placeholder 4">
              <a:extLst xmlns:a="http://schemas.openxmlformats.org/drawingml/2006/main">
                <a:ext uri="{FF2B5EF4-FFF2-40B4-BE49-F238E27FC236}">
                  <a16:creationId xmlns:a16="http://schemas.microsoft.com/office/drawing/2014/main" id="{9F12D71C-FB34-4833-AAF6-0AD79659B19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9F12D71C-FB34-4833-AAF6-0AD79659B190}"/>
                        </a:ext>
                      </a:extLst>
                    </pic:cNvPr>
                    <pic:cNvPicPr>
                      <a:picLocks noGrp="1" noChangeAspect="1"/>
                    </pic:cNvPicPr>
                  </pic:nvPicPr>
                  <pic:blipFill rotWithShape="1">
                    <a:blip r:embed="rId8">
                      <a:extLst>
                        <a:ext uri="{28A0092B-C50C-407E-A947-70E740481C1C}">
                          <a14:useLocalDpi xmlns:a14="http://schemas.microsoft.com/office/drawing/2010/main" val="0"/>
                        </a:ext>
                      </a:extLst>
                    </a:blip>
                    <a:srcRect l="24272" t="24506" r="25034" b="24184"/>
                    <a:stretch/>
                  </pic:blipFill>
                  <pic:spPr>
                    <a:xfrm>
                      <a:off x="0" y="0"/>
                      <a:ext cx="2873434" cy="2908333"/>
                    </a:xfrm>
                    <a:prstGeom prst="rect">
                      <a:avLst/>
                    </a:prstGeom>
                  </pic:spPr>
                </pic:pic>
              </a:graphicData>
            </a:graphic>
          </wp:inline>
        </w:drawing>
      </w:r>
      <w:r>
        <w:t xml:space="preserve"> </w:t>
      </w:r>
      <w:r w:rsidR="00B15BFF">
        <w:t xml:space="preserve">   </w:t>
      </w:r>
      <w:r>
        <w:rPr>
          <w:noProof/>
        </w:rPr>
        <w:drawing>
          <wp:inline distT="0" distB="0" distL="0" distR="0" wp14:anchorId="78AB3006" wp14:editId="5A5E557B">
            <wp:extent cx="2790825" cy="2790825"/>
            <wp:effectExtent l="0" t="0" r="9525" b="9525"/>
            <wp:docPr id="1" name="Picture 1" descr="http://thepainsource.com/wp-content/uploads/2012/10/Hip-Injection-with-fluoroscopy-Step-05-ThePainSou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painsource.com/wp-content/uploads/2012/10/Hip-Injection-with-fluoroscopy-Step-05-ThePainSourc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inline>
        </w:drawing>
      </w:r>
    </w:p>
    <w:p w14:paraId="6FAAA89B" w14:textId="77777777" w:rsidR="004B14D9" w:rsidRDefault="004B14D9" w:rsidP="00B15BFF">
      <w:pPr>
        <w:spacing w:line="240" w:lineRule="auto"/>
        <w:rPr>
          <w:sz w:val="12"/>
        </w:rPr>
      </w:pPr>
      <w:r w:rsidRPr="00B15BFF">
        <w:rPr>
          <w:sz w:val="14"/>
        </w:rPr>
        <w:t>Image courtesy of Canada Diagnostic Centres</w:t>
      </w:r>
      <w:r w:rsidR="00B15BFF">
        <w:rPr>
          <w:sz w:val="14"/>
        </w:rPr>
        <w:tab/>
      </w:r>
      <w:r w:rsidR="00B15BFF">
        <w:rPr>
          <w:sz w:val="14"/>
        </w:rPr>
        <w:tab/>
      </w:r>
      <w:r w:rsidR="00B15BFF">
        <w:rPr>
          <w:sz w:val="14"/>
        </w:rPr>
        <w:tab/>
      </w:r>
      <w:r w:rsidR="00B15BFF">
        <w:rPr>
          <w:sz w:val="14"/>
        </w:rPr>
        <w:tab/>
      </w:r>
      <w:hyperlink r:id="rId10" w:history="1">
        <w:r w:rsidR="00B15BFF" w:rsidRPr="00762779">
          <w:rPr>
            <w:rStyle w:val="Hyperlink"/>
            <w:sz w:val="12"/>
          </w:rPr>
          <w:t>http://thepainsource.com/hip-joint-injection-with-fluoroscopy-technique-and-tips/</w:t>
        </w:r>
      </w:hyperlink>
    </w:p>
    <w:p w14:paraId="01132AC3" w14:textId="77777777" w:rsidR="00B15BFF" w:rsidRPr="00B15BFF" w:rsidRDefault="00B15BFF" w:rsidP="00B15BFF">
      <w:pPr>
        <w:spacing w:line="240" w:lineRule="auto"/>
      </w:pPr>
    </w:p>
    <w:p w14:paraId="575C3668" w14:textId="77777777" w:rsidR="00B15BFF" w:rsidRDefault="00B15BFF">
      <w:pPr>
        <w:spacing w:before="-1" w:beforeAutospacing="0" w:after="-1" w:afterAutospacing="0"/>
        <w:rPr>
          <w:b/>
        </w:rPr>
      </w:pPr>
      <w:r>
        <w:rPr>
          <w:b/>
        </w:rPr>
        <w:br w:type="page"/>
      </w:r>
    </w:p>
    <w:p w14:paraId="07A01D23" w14:textId="77777777" w:rsidR="006C3D3E" w:rsidRPr="00B15BFF" w:rsidRDefault="00B15BFF" w:rsidP="00B15BFF">
      <w:pPr>
        <w:pStyle w:val="ListParagraph"/>
        <w:numPr>
          <w:ilvl w:val="0"/>
          <w:numId w:val="8"/>
        </w:numPr>
      </w:pPr>
      <w:r>
        <w:rPr>
          <w:b/>
        </w:rPr>
        <w:lastRenderedPageBreak/>
        <w:t>Peripheral joint Injection – Viscosupplement</w:t>
      </w:r>
    </w:p>
    <w:p w14:paraId="248A6F21" w14:textId="77777777" w:rsidR="00B15BFF" w:rsidRDefault="00B15BFF" w:rsidP="00B15BFF">
      <w:pPr>
        <w:pStyle w:val="ListParagraph"/>
        <w:numPr>
          <w:ilvl w:val="0"/>
          <w:numId w:val="9"/>
        </w:numPr>
      </w:pPr>
      <w:r>
        <w:t>Hyaluronic acid compound is injected to a joint capsule to supplement synovial fluid that has diminished due to age or wear on the joint.</w:t>
      </w:r>
    </w:p>
    <w:p w14:paraId="6DD60D4B" w14:textId="77777777" w:rsidR="00D972FA" w:rsidRDefault="00D972FA" w:rsidP="00B15BFF">
      <w:pPr>
        <w:pStyle w:val="ListParagraph"/>
        <w:numPr>
          <w:ilvl w:val="0"/>
          <w:numId w:val="9"/>
        </w:numPr>
      </w:pPr>
      <w:r>
        <w:t>Usually done in knee and hip joints, but can also be done in smaller joints like AC joint or IP joints.</w:t>
      </w:r>
    </w:p>
    <w:p w14:paraId="47C8DAF3" w14:textId="77777777" w:rsidR="00B15BFF" w:rsidRDefault="00B15BFF" w:rsidP="00B15BFF">
      <w:pPr>
        <w:pStyle w:val="ListParagraph"/>
        <w:numPr>
          <w:ilvl w:val="0"/>
          <w:numId w:val="9"/>
        </w:numPr>
      </w:pPr>
      <w:r>
        <w:t>Not covered by Alberta Healthcare.</w:t>
      </w:r>
      <w:r w:rsidR="0061330A">
        <w:t xml:space="preserve"> Patient must pay for the medication syringe.</w:t>
      </w:r>
    </w:p>
    <w:p w14:paraId="7F847AE9" w14:textId="77777777" w:rsidR="00B15BFF" w:rsidRDefault="00B15BFF" w:rsidP="00B15BFF">
      <w:pPr>
        <w:pStyle w:val="ListParagraph"/>
        <w:numPr>
          <w:ilvl w:val="0"/>
          <w:numId w:val="9"/>
        </w:numPr>
      </w:pPr>
      <w:r>
        <w:t>Can slow the progression of osteoarthritis and delay joint replacement surgery.</w:t>
      </w:r>
    </w:p>
    <w:p w14:paraId="186C264C" w14:textId="77777777" w:rsidR="00B15BFF" w:rsidRDefault="00B15BFF" w:rsidP="00B15BFF">
      <w:pPr>
        <w:pStyle w:val="ListParagraph"/>
        <w:numPr>
          <w:ilvl w:val="0"/>
          <w:numId w:val="9"/>
        </w:numPr>
      </w:pPr>
      <w:r>
        <w:t>Injection procedure and risks are the same as a corticosteroid injection.</w:t>
      </w:r>
    </w:p>
    <w:p w14:paraId="0805E996" w14:textId="77777777" w:rsidR="00D972FA" w:rsidRDefault="006A46A4" w:rsidP="00B15BFF">
      <w:r>
        <w:rPr>
          <w:noProof/>
        </w:rPr>
        <w:drawing>
          <wp:inline distT="0" distB="0" distL="0" distR="0" wp14:anchorId="700240E6" wp14:editId="2180A301">
            <wp:extent cx="2707495" cy="1066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6032" cy="1081984"/>
                    </a:xfrm>
                    <a:prstGeom prst="rect">
                      <a:avLst/>
                    </a:prstGeom>
                  </pic:spPr>
                </pic:pic>
              </a:graphicData>
            </a:graphic>
          </wp:inline>
        </w:drawing>
      </w:r>
      <w:r>
        <w:rPr>
          <w:noProof/>
        </w:rPr>
        <w:drawing>
          <wp:inline distT="0" distB="0" distL="0" distR="0" wp14:anchorId="5EFA231F" wp14:editId="3D223A39">
            <wp:extent cx="2775884" cy="1590675"/>
            <wp:effectExtent l="0" t="0" r="5715" b="0"/>
            <wp:docPr id="4" name="Picture 4" descr="Image result for duro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urola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4975" cy="1607345"/>
                    </a:xfrm>
                    <a:prstGeom prst="rect">
                      <a:avLst/>
                    </a:prstGeom>
                    <a:noFill/>
                    <a:ln>
                      <a:noFill/>
                    </a:ln>
                  </pic:spPr>
                </pic:pic>
              </a:graphicData>
            </a:graphic>
          </wp:inline>
        </w:drawing>
      </w:r>
    </w:p>
    <w:p w14:paraId="65DEC6E7" w14:textId="77777777" w:rsidR="006A46A4" w:rsidRDefault="00D972FA" w:rsidP="00D972FA">
      <w:pPr>
        <w:rPr>
          <w:sz w:val="16"/>
        </w:rPr>
      </w:pPr>
      <w:r w:rsidRPr="00D972FA">
        <w:rPr>
          <w:sz w:val="16"/>
        </w:rPr>
        <w:t>Monovisc.com</w:t>
      </w:r>
      <w:r w:rsidRPr="00D972FA">
        <w:rPr>
          <w:sz w:val="16"/>
        </w:rPr>
        <w:tab/>
      </w:r>
      <w:r w:rsidRPr="00D972FA">
        <w:rPr>
          <w:sz w:val="16"/>
        </w:rPr>
        <w:tab/>
      </w:r>
      <w:r w:rsidRPr="00D972FA">
        <w:rPr>
          <w:sz w:val="16"/>
        </w:rPr>
        <w:tab/>
      </w:r>
      <w:r w:rsidRPr="00D972FA">
        <w:rPr>
          <w:sz w:val="16"/>
        </w:rPr>
        <w:tab/>
      </w:r>
      <w:r w:rsidRPr="00D972FA">
        <w:rPr>
          <w:sz w:val="16"/>
        </w:rPr>
        <w:tab/>
      </w:r>
      <w:r w:rsidRPr="00D972FA">
        <w:rPr>
          <w:sz w:val="16"/>
        </w:rPr>
        <w:tab/>
        <w:t>Durolane.com</w:t>
      </w:r>
    </w:p>
    <w:p w14:paraId="2E817A97" w14:textId="77777777" w:rsidR="00D972FA" w:rsidRDefault="00D972FA" w:rsidP="00D972FA">
      <w:pPr>
        <w:pStyle w:val="ListParagraph"/>
        <w:numPr>
          <w:ilvl w:val="0"/>
          <w:numId w:val="8"/>
        </w:numPr>
        <w:rPr>
          <w:b/>
        </w:rPr>
      </w:pPr>
      <w:r w:rsidRPr="00D972FA">
        <w:rPr>
          <w:b/>
        </w:rPr>
        <w:t>Bursa Injection</w:t>
      </w:r>
    </w:p>
    <w:p w14:paraId="3848B132" w14:textId="77777777" w:rsidR="00D972FA" w:rsidRDefault="00D972FA" w:rsidP="00D972FA">
      <w:pPr>
        <w:pStyle w:val="ListParagraph"/>
        <w:numPr>
          <w:ilvl w:val="0"/>
          <w:numId w:val="10"/>
        </w:numPr>
      </w:pPr>
      <w:r w:rsidRPr="00D972FA">
        <w:t>Corticosteroid is</w:t>
      </w:r>
      <w:r>
        <w:t xml:space="preserve"> injected into the space between or on top of muscles.</w:t>
      </w:r>
    </w:p>
    <w:p w14:paraId="57C2A9CC" w14:textId="77777777" w:rsidR="00D972FA" w:rsidRDefault="00D972FA" w:rsidP="00D972FA">
      <w:pPr>
        <w:pStyle w:val="ListParagraph"/>
        <w:numPr>
          <w:ilvl w:val="0"/>
          <w:numId w:val="10"/>
        </w:numPr>
      </w:pPr>
      <w:r>
        <w:t>Bathes soft tissue structures (tendons, ligaments, or bursa</w:t>
      </w:r>
      <w:r w:rsidR="0061330A">
        <w:t>e)</w:t>
      </w:r>
      <w:r>
        <w:t xml:space="preserve"> in anti-inflammatory medication.</w:t>
      </w:r>
    </w:p>
    <w:p w14:paraId="61F8E0C2" w14:textId="77777777" w:rsidR="00D972FA" w:rsidRDefault="00D972FA" w:rsidP="00D972FA">
      <w:pPr>
        <w:pStyle w:val="ListParagraph"/>
        <w:numPr>
          <w:ilvl w:val="0"/>
          <w:numId w:val="10"/>
        </w:numPr>
      </w:pPr>
      <w:r>
        <w:t>Used to reduce pain of overuse or repetitive strain injuries.</w:t>
      </w:r>
    </w:p>
    <w:p w14:paraId="23D350AA" w14:textId="77777777" w:rsidR="0061330A" w:rsidRDefault="0061330A" w:rsidP="0061330A">
      <w:pPr>
        <w:spacing w:after="0" w:afterAutospacing="0"/>
      </w:pPr>
      <w:r w:rsidRPr="0061330A">
        <w:rPr>
          <w:noProof/>
        </w:rPr>
        <w:drawing>
          <wp:inline distT="0" distB="0" distL="0" distR="0" wp14:anchorId="65206E01" wp14:editId="2828F947">
            <wp:extent cx="1701424" cy="1990725"/>
            <wp:effectExtent l="0" t="0" r="0" b="0"/>
            <wp:docPr id="8" name="Content Placeholder 7">
              <a:extLst xmlns:a="http://schemas.openxmlformats.org/drawingml/2006/main">
                <a:ext uri="{FF2B5EF4-FFF2-40B4-BE49-F238E27FC236}">
                  <a16:creationId xmlns:a16="http://schemas.microsoft.com/office/drawing/2014/main" id="{CDE540CE-8EE9-4DF0-B46C-506B120670B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CDE540CE-8EE9-4DF0-B46C-506B120670BA}"/>
                        </a:ext>
                      </a:extLst>
                    </pic:cNvPr>
                    <pic:cNvPicPr>
                      <a:picLocks noGrp="1" noChangeAspect="1"/>
                    </pic:cNvPicPr>
                  </pic:nvPicPr>
                  <pic:blipFill rotWithShape="1">
                    <a:blip r:embed="rId13"/>
                    <a:srcRect l="16081" t="10344" r="14753" b="8729"/>
                    <a:stretch/>
                  </pic:blipFill>
                  <pic:spPr>
                    <a:xfrm>
                      <a:off x="0" y="0"/>
                      <a:ext cx="1701424" cy="1990725"/>
                    </a:xfrm>
                    <a:prstGeom prst="rect">
                      <a:avLst/>
                    </a:prstGeom>
                  </pic:spPr>
                </pic:pic>
              </a:graphicData>
            </a:graphic>
          </wp:inline>
        </w:drawing>
      </w:r>
      <w:r w:rsidR="001B01C8">
        <w:t xml:space="preserve">  </w:t>
      </w:r>
      <w:r w:rsidR="001B01C8">
        <w:tab/>
      </w:r>
      <w:r w:rsidR="001B01C8">
        <w:tab/>
      </w:r>
      <w:r w:rsidR="001B01C8">
        <w:tab/>
      </w:r>
      <w:r w:rsidR="001B01C8">
        <w:tab/>
      </w:r>
      <w:r w:rsidR="001B01C8">
        <w:rPr>
          <w:noProof/>
        </w:rPr>
        <w:drawing>
          <wp:inline distT="0" distB="0" distL="0" distR="0" wp14:anchorId="46EFD543" wp14:editId="79D53537">
            <wp:extent cx="1514475" cy="2012088"/>
            <wp:effectExtent l="0" t="0" r="0" b="7620"/>
            <wp:docPr id="7" name="Picture 7" descr="omplex.  Shoulder impingement syndrome develops when there is a narrowing of the subacromial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mplex.  Shoulder impingement syndrome develops when there is a narrowing of the subacromial sp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4135" cy="2038208"/>
                    </a:xfrm>
                    <a:prstGeom prst="rect">
                      <a:avLst/>
                    </a:prstGeom>
                    <a:noFill/>
                    <a:ln>
                      <a:noFill/>
                    </a:ln>
                  </pic:spPr>
                </pic:pic>
              </a:graphicData>
            </a:graphic>
          </wp:inline>
        </w:drawing>
      </w:r>
    </w:p>
    <w:p w14:paraId="7CCA4998" w14:textId="77777777" w:rsidR="0061330A" w:rsidRDefault="0061330A" w:rsidP="0061330A">
      <w:pPr>
        <w:spacing w:before="0" w:beforeAutospacing="0"/>
        <w:rPr>
          <w:sz w:val="12"/>
        </w:rPr>
      </w:pPr>
      <w:r w:rsidRPr="0061330A">
        <w:rPr>
          <w:sz w:val="14"/>
        </w:rPr>
        <w:t>Subacromial bursa injection image courtesy of Canada Diagnostic Centres</w:t>
      </w:r>
      <w:r w:rsidR="001B01C8">
        <w:rPr>
          <w:sz w:val="14"/>
        </w:rPr>
        <w:tab/>
      </w:r>
      <w:hyperlink r:id="rId15" w:history="1">
        <w:r w:rsidR="001B01C8" w:rsidRPr="00762779">
          <w:rPr>
            <w:rStyle w:val="Hyperlink"/>
            <w:sz w:val="12"/>
          </w:rPr>
          <w:t>https://www.shoulder-pain-explained.com/shoulder-impingement-syndrome.html</w:t>
        </w:r>
      </w:hyperlink>
    </w:p>
    <w:p w14:paraId="77764320" w14:textId="77777777" w:rsidR="001B01C8" w:rsidRPr="001B01C8" w:rsidRDefault="001B01C8" w:rsidP="001B01C8">
      <w:pPr>
        <w:pStyle w:val="ListParagraph"/>
        <w:numPr>
          <w:ilvl w:val="0"/>
          <w:numId w:val="8"/>
        </w:numPr>
        <w:spacing w:before="0" w:beforeAutospacing="0"/>
      </w:pPr>
      <w:r>
        <w:rPr>
          <w:b/>
        </w:rPr>
        <w:lastRenderedPageBreak/>
        <w:t>Tendon Sheath injection</w:t>
      </w:r>
    </w:p>
    <w:p w14:paraId="0EFA2D05" w14:textId="77777777" w:rsidR="001B01C8" w:rsidRDefault="001B01C8" w:rsidP="001B01C8">
      <w:pPr>
        <w:pStyle w:val="ListParagraph"/>
        <w:numPr>
          <w:ilvl w:val="0"/>
          <w:numId w:val="11"/>
        </w:numPr>
        <w:spacing w:before="0" w:beforeAutospacing="0"/>
      </w:pPr>
      <w:r>
        <w:t>Corticosteroid is injected into the tendon sheath where it coats the tendon within, reducing inflammation.</w:t>
      </w:r>
    </w:p>
    <w:p w14:paraId="2E9DDF2D" w14:textId="77777777" w:rsidR="001B01C8" w:rsidRDefault="001B01C8" w:rsidP="001B01C8">
      <w:pPr>
        <w:pStyle w:val="ListParagraph"/>
        <w:numPr>
          <w:ilvl w:val="0"/>
          <w:numId w:val="11"/>
        </w:numPr>
        <w:spacing w:before="0" w:beforeAutospacing="0"/>
      </w:pPr>
      <w:r>
        <w:t>Can decrease swelling of the tendon sheath, allowing for greater movement of a joint</w:t>
      </w:r>
      <w:r w:rsidR="00DB2C2C">
        <w:t xml:space="preserve"> i.e.</w:t>
      </w:r>
      <w:r>
        <w:t xml:space="preserve"> “trigger finger” injections.</w:t>
      </w:r>
    </w:p>
    <w:p w14:paraId="79878A53" w14:textId="77777777" w:rsidR="001B01C8" w:rsidRDefault="001B01C8" w:rsidP="001B01C8">
      <w:pPr>
        <w:pStyle w:val="ListParagraph"/>
        <w:numPr>
          <w:ilvl w:val="0"/>
          <w:numId w:val="11"/>
        </w:numPr>
        <w:spacing w:before="0" w:beforeAutospacing="0"/>
      </w:pPr>
      <w:r>
        <w:t>Very common in the hand, ankle, and rotator cuff.</w:t>
      </w:r>
    </w:p>
    <w:p w14:paraId="5FD28F35" w14:textId="77777777" w:rsidR="001B01C8" w:rsidRDefault="001B01C8" w:rsidP="001B01C8">
      <w:pPr>
        <w:spacing w:before="0" w:beforeAutospacing="0" w:after="0" w:afterAutospacing="0"/>
        <w:jc w:val="center"/>
      </w:pPr>
      <w:r w:rsidRPr="001B01C8">
        <w:rPr>
          <w:noProof/>
        </w:rPr>
        <w:drawing>
          <wp:inline distT="0" distB="0" distL="0" distR="0" wp14:anchorId="036782EF" wp14:editId="3516B95B">
            <wp:extent cx="4653130" cy="2619375"/>
            <wp:effectExtent l="0" t="0" r="0" b="0"/>
            <wp:docPr id="9" name="Content Placeholder 3">
              <a:extLst xmlns:a="http://schemas.openxmlformats.org/drawingml/2006/main">
                <a:ext uri="{FF2B5EF4-FFF2-40B4-BE49-F238E27FC236}">
                  <a16:creationId xmlns:a16="http://schemas.microsoft.com/office/drawing/2014/main" id="{F09B07F4-C2E8-4DD5-8971-4B1EC247867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09B07F4-C2E8-4DD5-8971-4B1EC2478673}"/>
                        </a:ext>
                      </a:extLst>
                    </pic:cNvPr>
                    <pic:cNvPicPr>
                      <a:picLocks noGrp="1" noChangeAspect="1"/>
                    </pic:cNvPicPr>
                  </pic:nvPicPr>
                  <pic:blipFill>
                    <a:blip r:embed="rId16"/>
                    <a:stretch>
                      <a:fillRect/>
                    </a:stretch>
                  </pic:blipFill>
                  <pic:spPr>
                    <a:xfrm>
                      <a:off x="0" y="0"/>
                      <a:ext cx="4712641" cy="2652875"/>
                    </a:xfrm>
                    <a:prstGeom prst="rect">
                      <a:avLst/>
                    </a:prstGeom>
                  </pic:spPr>
                </pic:pic>
              </a:graphicData>
            </a:graphic>
          </wp:inline>
        </w:drawing>
      </w:r>
    </w:p>
    <w:p w14:paraId="2BCCC43D" w14:textId="77777777" w:rsidR="001B01C8" w:rsidRDefault="001B01C8" w:rsidP="001B01C8">
      <w:pPr>
        <w:spacing w:before="0" w:beforeAutospacing="0"/>
        <w:jc w:val="center"/>
        <w:rPr>
          <w:sz w:val="16"/>
        </w:rPr>
      </w:pPr>
      <w:r w:rsidRPr="001B01C8">
        <w:rPr>
          <w:sz w:val="16"/>
        </w:rPr>
        <w:t>Trigger finger injection image courtesy of Canada Diagnostic Centres</w:t>
      </w:r>
    </w:p>
    <w:p w14:paraId="699125C9" w14:textId="77777777" w:rsidR="004C42E2" w:rsidRDefault="004C42E2" w:rsidP="004C42E2">
      <w:pPr>
        <w:spacing w:before="-1" w:beforeAutospacing="0" w:after="-1" w:afterAutospacing="0"/>
        <w:jc w:val="center"/>
        <w:rPr>
          <w:b/>
        </w:rPr>
      </w:pPr>
      <w:r>
        <w:rPr>
          <w:noProof/>
        </w:rPr>
        <w:drawing>
          <wp:inline distT="0" distB="0" distL="0" distR="0" wp14:anchorId="43D1AA2E" wp14:editId="5D7A838C">
            <wp:extent cx="2762250" cy="3012652"/>
            <wp:effectExtent l="0" t="0" r="0" b="0"/>
            <wp:docPr id="12" name="Picture 12" descr="Fig. 87.25 Injection of the long head of the biceps tendon in the bicipital gro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87.25 Injection of the long head of the biceps tendon in the bicipital groove."/>
                    <pic:cNvPicPr>
                      <a:picLocks noChangeAspect="1" noChangeArrowheads="1"/>
                    </pic:cNvPicPr>
                  </pic:nvPicPr>
                  <pic:blipFill rotWithShape="1">
                    <a:blip r:embed="rId17">
                      <a:extLst>
                        <a:ext uri="{28A0092B-C50C-407E-A947-70E740481C1C}">
                          <a14:useLocalDpi xmlns:a14="http://schemas.microsoft.com/office/drawing/2010/main" val="0"/>
                        </a:ext>
                      </a:extLst>
                    </a:blip>
                    <a:srcRect l="7536" t="13902" r="6645" b="6214"/>
                    <a:stretch/>
                  </pic:blipFill>
                  <pic:spPr bwMode="auto">
                    <a:xfrm>
                      <a:off x="0" y="0"/>
                      <a:ext cx="2774555" cy="3026073"/>
                    </a:xfrm>
                    <a:prstGeom prst="rect">
                      <a:avLst/>
                    </a:prstGeom>
                    <a:noFill/>
                    <a:ln>
                      <a:noFill/>
                    </a:ln>
                    <a:extLst>
                      <a:ext uri="{53640926-AAD7-44D8-BBD7-CCE9431645EC}">
                        <a14:shadowObscured xmlns:a14="http://schemas.microsoft.com/office/drawing/2010/main"/>
                      </a:ext>
                    </a:extLst>
                  </pic:spPr>
                </pic:pic>
              </a:graphicData>
            </a:graphic>
          </wp:inline>
        </w:drawing>
      </w:r>
    </w:p>
    <w:p w14:paraId="006370C2" w14:textId="77777777" w:rsidR="00144FB9" w:rsidRDefault="004C42E2" w:rsidP="004C42E2">
      <w:pPr>
        <w:spacing w:before="-1" w:beforeAutospacing="0" w:after="-1" w:afterAutospacing="0"/>
        <w:jc w:val="center"/>
        <w:rPr>
          <w:b/>
        </w:rPr>
      </w:pPr>
      <w:r w:rsidRPr="004C42E2">
        <w:rPr>
          <w:rFonts w:cs="Arial"/>
          <w:color w:val="2E414F"/>
          <w:sz w:val="16"/>
          <w:szCs w:val="21"/>
          <w:shd w:val="clear" w:color="auto" w:fill="FFFFFF"/>
        </w:rPr>
        <w:t>Linscott, Margaret. “Injuries to the Shoulder Girdle and Humerus.” (2013).</w:t>
      </w:r>
      <w:r w:rsidR="00144FB9">
        <w:rPr>
          <w:b/>
        </w:rPr>
        <w:br w:type="page"/>
      </w:r>
    </w:p>
    <w:p w14:paraId="01E962B3" w14:textId="77777777" w:rsidR="001B01C8" w:rsidRDefault="001B01C8" w:rsidP="001B01C8">
      <w:pPr>
        <w:pStyle w:val="ListParagraph"/>
        <w:numPr>
          <w:ilvl w:val="0"/>
          <w:numId w:val="8"/>
        </w:numPr>
        <w:spacing w:before="0" w:beforeAutospacing="0"/>
        <w:rPr>
          <w:b/>
        </w:rPr>
      </w:pPr>
      <w:r w:rsidRPr="001B01C8">
        <w:rPr>
          <w:b/>
        </w:rPr>
        <w:lastRenderedPageBreak/>
        <w:t>Arthrograms</w:t>
      </w:r>
    </w:p>
    <w:p w14:paraId="717C248C" w14:textId="77777777" w:rsidR="001B01C8" w:rsidRDefault="00144FB9" w:rsidP="001B01C8">
      <w:pPr>
        <w:pStyle w:val="ListParagraph"/>
        <w:numPr>
          <w:ilvl w:val="0"/>
          <w:numId w:val="12"/>
        </w:numPr>
        <w:spacing w:before="0" w:beforeAutospacing="0"/>
      </w:pPr>
      <w:r w:rsidRPr="00144FB9">
        <w:t>Diagnostic</w:t>
      </w:r>
      <w:r>
        <w:t xml:space="preserve"> exam done on a joint to visualize the soft tissue structures within that joint</w:t>
      </w:r>
    </w:p>
    <w:p w14:paraId="42930DED" w14:textId="77777777" w:rsidR="00144FB9" w:rsidRDefault="00144FB9" w:rsidP="001B01C8">
      <w:pPr>
        <w:pStyle w:val="ListParagraph"/>
        <w:numPr>
          <w:ilvl w:val="0"/>
          <w:numId w:val="12"/>
        </w:numPr>
        <w:spacing w:before="0" w:beforeAutospacing="0"/>
      </w:pPr>
      <w:r>
        <w:t>Often done on shoulder, hips, or knees; but can be done on just about any joint.</w:t>
      </w:r>
    </w:p>
    <w:p w14:paraId="1E8A197D" w14:textId="77777777" w:rsidR="00144FB9" w:rsidRDefault="00144FB9" w:rsidP="001B01C8">
      <w:pPr>
        <w:pStyle w:val="ListParagraph"/>
        <w:numPr>
          <w:ilvl w:val="0"/>
          <w:numId w:val="12"/>
        </w:numPr>
        <w:spacing w:before="0" w:beforeAutospacing="0"/>
      </w:pPr>
      <w:r>
        <w:t>A large bolus of fluid, usually a mixture of local anesthetic, radiographic contrast, and saline, is injected into the joint. Once the joint is expanded images are taken of the joint in various positions and on various planes.</w:t>
      </w:r>
    </w:p>
    <w:p w14:paraId="33008277" w14:textId="77777777" w:rsidR="00144FB9" w:rsidRDefault="00144FB9" w:rsidP="001B01C8">
      <w:pPr>
        <w:pStyle w:val="ListParagraph"/>
        <w:numPr>
          <w:ilvl w:val="0"/>
          <w:numId w:val="12"/>
        </w:numPr>
        <w:spacing w:before="0" w:beforeAutospacing="0"/>
      </w:pPr>
      <w:r>
        <w:t>The patient then moves on to another modality such as ultrasound or MRI for further evaluation.</w:t>
      </w:r>
    </w:p>
    <w:p w14:paraId="3599CF98" w14:textId="77777777" w:rsidR="00144FB9" w:rsidRDefault="00144FB9" w:rsidP="001B01C8">
      <w:pPr>
        <w:pStyle w:val="ListParagraph"/>
        <w:numPr>
          <w:ilvl w:val="0"/>
          <w:numId w:val="12"/>
        </w:numPr>
        <w:spacing w:before="0" w:beforeAutospacing="0"/>
      </w:pPr>
      <w:r>
        <w:t>The results of the exam will determine the treatment path.</w:t>
      </w:r>
    </w:p>
    <w:p w14:paraId="68BDD52E" w14:textId="77777777" w:rsidR="00144FB9" w:rsidRDefault="00144FB9" w:rsidP="00144FB9">
      <w:pPr>
        <w:spacing w:before="0" w:beforeAutospacing="0" w:after="0" w:afterAutospacing="0"/>
        <w:jc w:val="center"/>
      </w:pPr>
      <w:r w:rsidRPr="00144FB9">
        <w:rPr>
          <w:noProof/>
        </w:rPr>
        <w:drawing>
          <wp:inline distT="0" distB="0" distL="0" distR="0" wp14:anchorId="40156DB9" wp14:editId="111F2036">
            <wp:extent cx="2672621" cy="241935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735689" cy="2476441"/>
                    </a:xfrm>
                    <a:prstGeom prst="rect">
                      <a:avLst/>
                    </a:prstGeom>
                  </pic:spPr>
                </pic:pic>
              </a:graphicData>
            </a:graphic>
          </wp:inline>
        </w:drawing>
      </w:r>
    </w:p>
    <w:p w14:paraId="55A8332E" w14:textId="77777777" w:rsidR="00144FB9" w:rsidRDefault="00144FB9" w:rsidP="00144FB9">
      <w:pPr>
        <w:spacing w:before="0" w:beforeAutospacing="0"/>
        <w:jc w:val="center"/>
        <w:rPr>
          <w:sz w:val="16"/>
        </w:rPr>
      </w:pPr>
      <w:hyperlink r:id="rId19" w:history="1">
        <w:r w:rsidRPr="00144FB9">
          <w:rPr>
            <w:rStyle w:val="Hyperlink"/>
            <w:sz w:val="16"/>
            <w:lang w:val="en-US"/>
          </w:rPr>
          <w:t>http</w:t>
        </w:r>
      </w:hyperlink>
      <w:hyperlink r:id="rId20" w:history="1">
        <w:r w:rsidRPr="00144FB9">
          <w:rPr>
            <w:rStyle w:val="Hyperlink"/>
            <w:sz w:val="16"/>
            <w:lang w:val="en-US"/>
          </w:rPr>
          <w:t>://</w:t>
        </w:r>
      </w:hyperlink>
      <w:hyperlink r:id="rId21" w:history="1">
        <w:r w:rsidRPr="00144FB9">
          <w:rPr>
            <w:rStyle w:val="Hyperlink"/>
            <w:sz w:val="16"/>
            <w:lang w:val="en-US"/>
          </w:rPr>
          <w:t>uwmsk.org/arthrography/wrist-arthro.png</w:t>
        </w:r>
      </w:hyperlink>
    </w:p>
    <w:p w14:paraId="30C05403" w14:textId="77777777" w:rsidR="00144FB9" w:rsidRDefault="00144FB9" w:rsidP="00060F80">
      <w:pPr>
        <w:spacing w:before="0" w:beforeAutospacing="0" w:after="0" w:afterAutospacing="0"/>
        <w:jc w:val="center"/>
        <w:rPr>
          <w:sz w:val="16"/>
          <w:lang w:val="en-US"/>
        </w:rPr>
      </w:pPr>
      <w:r w:rsidRPr="00144FB9">
        <w:rPr>
          <w:noProof/>
          <w:sz w:val="16"/>
        </w:rPr>
        <w:drawing>
          <wp:inline distT="0" distB="0" distL="0" distR="0" wp14:anchorId="72236E76" wp14:editId="2C3199E5">
            <wp:extent cx="2562225" cy="2562225"/>
            <wp:effectExtent l="0" t="0" r="9525" b="9525"/>
            <wp:docPr id="1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2386" cy="2562386"/>
                    </a:xfrm>
                    <a:prstGeom prst="rect">
                      <a:avLst/>
                    </a:prstGeom>
                  </pic:spPr>
                </pic:pic>
              </a:graphicData>
            </a:graphic>
          </wp:inline>
        </w:drawing>
      </w:r>
    </w:p>
    <w:p w14:paraId="5D63CAEF" w14:textId="77777777" w:rsidR="00144FB9" w:rsidRPr="00060F80" w:rsidRDefault="00060F80" w:rsidP="00060F80">
      <w:pPr>
        <w:spacing w:before="0" w:beforeAutospacing="0"/>
        <w:jc w:val="center"/>
        <w:rPr>
          <w:sz w:val="16"/>
          <w:lang w:val="en-US"/>
        </w:rPr>
      </w:pPr>
      <w:r w:rsidRPr="00060F80">
        <w:rPr>
          <w:sz w:val="16"/>
          <w:lang w:val="en-US"/>
        </w:rPr>
        <w:t>Case courtesy of A.Prof Frank Gaillard, Radiopaedia.org, rID: 7545</w:t>
      </w:r>
    </w:p>
    <w:sectPr w:rsidR="00144FB9" w:rsidRPr="00060F80" w:rsidSect="00E539FB">
      <w:headerReference w:type="default" r:id="rId23"/>
      <w:footerReference w:type="default" r:id="rId24"/>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CDE8C" w14:textId="77777777" w:rsidR="00F93CB5" w:rsidRDefault="00F93CB5" w:rsidP="005035B2">
      <w:pPr>
        <w:spacing w:before="0" w:after="0" w:line="240" w:lineRule="auto"/>
      </w:pPr>
      <w:r>
        <w:separator/>
      </w:r>
    </w:p>
  </w:endnote>
  <w:endnote w:type="continuationSeparator" w:id="0">
    <w:p w14:paraId="78C683BE" w14:textId="77777777" w:rsidR="00F93CB5" w:rsidRDefault="00F93CB5"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8B52" w14:textId="1B872F63" w:rsidR="008E4B3F" w:rsidRPr="00A37301" w:rsidRDefault="008E4B3F" w:rsidP="007814BA">
    <w:pPr>
      <w:pStyle w:val="Footer"/>
      <w:pBdr>
        <w:bar w:val="single" w:sz="18" w:color="005EB8"/>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771DA" w14:textId="77777777" w:rsidR="00F93CB5" w:rsidRDefault="00F93CB5" w:rsidP="005035B2">
      <w:pPr>
        <w:spacing w:before="0" w:after="0" w:line="240" w:lineRule="auto"/>
      </w:pPr>
      <w:r>
        <w:separator/>
      </w:r>
    </w:p>
  </w:footnote>
  <w:footnote w:type="continuationSeparator" w:id="0">
    <w:p w14:paraId="3E4F88DC" w14:textId="77777777" w:rsidR="00F93CB5" w:rsidRDefault="00F93CB5"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649F0" w14:textId="7B37821B" w:rsidR="005035B2" w:rsidRPr="001B78B4" w:rsidRDefault="006C3D3E" w:rsidP="004E61B6">
    <w:pPr>
      <w:pStyle w:val="Header"/>
      <w:tabs>
        <w:tab w:val="left" w:pos="555"/>
        <w:tab w:val="right" w:pos="9360"/>
      </w:tabs>
    </w:pPr>
    <w:r>
      <w:tab/>
      <w:t>MRAD 240 Specialized Imaging 1</w:t>
    </w:r>
    <w:r w:rsidR="00807062" w:rsidRPr="001B78B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536C7"/>
    <w:multiLevelType w:val="hybridMultilevel"/>
    <w:tmpl w:val="C7885D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1B4243F"/>
    <w:multiLevelType w:val="hybridMultilevel"/>
    <w:tmpl w:val="114CDDB4"/>
    <w:lvl w:ilvl="0" w:tplc="C3B0C87C">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F15A3"/>
    <w:multiLevelType w:val="hybridMultilevel"/>
    <w:tmpl w:val="9398B0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996055"/>
    <w:multiLevelType w:val="hybridMultilevel"/>
    <w:tmpl w:val="EBA4B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A3852B9"/>
    <w:multiLevelType w:val="hybridMultilevel"/>
    <w:tmpl w:val="908E0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1407944">
    <w:abstractNumId w:val="4"/>
  </w:num>
  <w:num w:numId="2" w16cid:durableId="143592632">
    <w:abstractNumId w:val="5"/>
  </w:num>
  <w:num w:numId="3" w16cid:durableId="907619220">
    <w:abstractNumId w:val="7"/>
  </w:num>
  <w:num w:numId="4" w16cid:durableId="549849033">
    <w:abstractNumId w:val="10"/>
  </w:num>
  <w:num w:numId="5" w16cid:durableId="1259363357">
    <w:abstractNumId w:val="0"/>
  </w:num>
  <w:num w:numId="6" w16cid:durableId="1469973731">
    <w:abstractNumId w:val="11"/>
  </w:num>
  <w:num w:numId="7" w16cid:durableId="2017151560">
    <w:abstractNumId w:val="1"/>
  </w:num>
  <w:num w:numId="8" w16cid:durableId="1564098219">
    <w:abstractNumId w:val="3"/>
  </w:num>
  <w:num w:numId="9" w16cid:durableId="1601333461">
    <w:abstractNumId w:val="6"/>
  </w:num>
  <w:num w:numId="10" w16cid:durableId="622660717">
    <w:abstractNumId w:val="9"/>
  </w:num>
  <w:num w:numId="11" w16cid:durableId="935673299">
    <w:abstractNumId w:val="8"/>
  </w:num>
  <w:num w:numId="12" w16cid:durableId="931552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B2"/>
    <w:rsid w:val="00060F80"/>
    <w:rsid w:val="000924ED"/>
    <w:rsid w:val="000C6EEF"/>
    <w:rsid w:val="001016EB"/>
    <w:rsid w:val="00133D88"/>
    <w:rsid w:val="00135571"/>
    <w:rsid w:val="00144FB9"/>
    <w:rsid w:val="0017570C"/>
    <w:rsid w:val="00181654"/>
    <w:rsid w:val="001B01C8"/>
    <w:rsid w:val="001B78B4"/>
    <w:rsid w:val="001D565C"/>
    <w:rsid w:val="001D7381"/>
    <w:rsid w:val="001F56E8"/>
    <w:rsid w:val="00270557"/>
    <w:rsid w:val="002804AF"/>
    <w:rsid w:val="002C280B"/>
    <w:rsid w:val="002D4EBD"/>
    <w:rsid w:val="00343B5D"/>
    <w:rsid w:val="003605FA"/>
    <w:rsid w:val="00392A62"/>
    <w:rsid w:val="003B6646"/>
    <w:rsid w:val="003E0BD7"/>
    <w:rsid w:val="003F4008"/>
    <w:rsid w:val="00421B19"/>
    <w:rsid w:val="004268E2"/>
    <w:rsid w:val="004540CF"/>
    <w:rsid w:val="004B14D9"/>
    <w:rsid w:val="004B3415"/>
    <w:rsid w:val="004B396E"/>
    <w:rsid w:val="004C0304"/>
    <w:rsid w:val="004C42E2"/>
    <w:rsid w:val="004D1107"/>
    <w:rsid w:val="004E61B6"/>
    <w:rsid w:val="005035B2"/>
    <w:rsid w:val="00517651"/>
    <w:rsid w:val="00553991"/>
    <w:rsid w:val="006056C6"/>
    <w:rsid w:val="0061330A"/>
    <w:rsid w:val="00636986"/>
    <w:rsid w:val="00643EEB"/>
    <w:rsid w:val="006863EC"/>
    <w:rsid w:val="006A46A4"/>
    <w:rsid w:val="006B1B0B"/>
    <w:rsid w:val="006C3D3E"/>
    <w:rsid w:val="006D0F15"/>
    <w:rsid w:val="00701864"/>
    <w:rsid w:val="007377C6"/>
    <w:rsid w:val="007814BA"/>
    <w:rsid w:val="007D6C2E"/>
    <w:rsid w:val="00807062"/>
    <w:rsid w:val="0082599B"/>
    <w:rsid w:val="00845AC8"/>
    <w:rsid w:val="008C2205"/>
    <w:rsid w:val="008C303A"/>
    <w:rsid w:val="008E37C7"/>
    <w:rsid w:val="008E4B3F"/>
    <w:rsid w:val="0093212C"/>
    <w:rsid w:val="009659EB"/>
    <w:rsid w:val="00973FFB"/>
    <w:rsid w:val="00980B7F"/>
    <w:rsid w:val="009836F7"/>
    <w:rsid w:val="009A52C4"/>
    <w:rsid w:val="009C7679"/>
    <w:rsid w:val="009F59FA"/>
    <w:rsid w:val="00A05A1D"/>
    <w:rsid w:val="00A10329"/>
    <w:rsid w:val="00A24B3D"/>
    <w:rsid w:val="00A37301"/>
    <w:rsid w:val="00AF0584"/>
    <w:rsid w:val="00B0208B"/>
    <w:rsid w:val="00B07B76"/>
    <w:rsid w:val="00B15BFF"/>
    <w:rsid w:val="00B34E9A"/>
    <w:rsid w:val="00BE3562"/>
    <w:rsid w:val="00BE732A"/>
    <w:rsid w:val="00C11E8D"/>
    <w:rsid w:val="00C15B7C"/>
    <w:rsid w:val="00C21DA0"/>
    <w:rsid w:val="00CC12A5"/>
    <w:rsid w:val="00CE329F"/>
    <w:rsid w:val="00D045AB"/>
    <w:rsid w:val="00D13693"/>
    <w:rsid w:val="00D66546"/>
    <w:rsid w:val="00D82E3C"/>
    <w:rsid w:val="00D972FA"/>
    <w:rsid w:val="00DA5E5A"/>
    <w:rsid w:val="00DB2C2C"/>
    <w:rsid w:val="00DC48F4"/>
    <w:rsid w:val="00E539FB"/>
    <w:rsid w:val="00E82FEC"/>
    <w:rsid w:val="00EB58E5"/>
    <w:rsid w:val="00F33877"/>
    <w:rsid w:val="00F432A4"/>
    <w:rsid w:val="00F60FEA"/>
    <w:rsid w:val="00F93CB5"/>
    <w:rsid w:val="00FC3800"/>
    <w:rsid w:val="00FC6C35"/>
    <w:rsid w:val="00FE7D3E"/>
    <w:rsid w:val="00FF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828E7"/>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 w:type="character" w:styleId="UnresolvedMention">
    <w:name w:val="Unresolved Mention"/>
    <w:basedOn w:val="DefaultParagraphFont"/>
    <w:uiPriority w:val="99"/>
    <w:semiHidden/>
    <w:unhideWhenUsed/>
    <w:rsid w:val="00B15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783616">
      <w:bodyDiv w:val="1"/>
      <w:marLeft w:val="0"/>
      <w:marRight w:val="0"/>
      <w:marTop w:val="0"/>
      <w:marBottom w:val="0"/>
      <w:divBdr>
        <w:top w:val="none" w:sz="0" w:space="0" w:color="auto"/>
        <w:left w:val="none" w:sz="0" w:space="0" w:color="auto"/>
        <w:bottom w:val="none" w:sz="0" w:space="0" w:color="auto"/>
        <w:right w:val="none" w:sz="0" w:space="0" w:color="auto"/>
      </w:divBdr>
    </w:div>
    <w:div w:id="10269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wmsk.org/arthrography/wrist-arthro.p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uwmsk.org/arthrography/wrist-arthro.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houlder-pain-explained.com/shoulder-impingement-syndrome.html" TargetMode="External"/><Relationship Id="rId23" Type="http://schemas.openxmlformats.org/officeDocument/2006/relationships/header" Target="header1.xml"/><Relationship Id="rId10" Type="http://schemas.openxmlformats.org/officeDocument/2006/relationships/hyperlink" Target="http://thepainsource.com/hip-joint-injection-with-fluoroscopy-technique-and-tips/" TargetMode="External"/><Relationship Id="rId19" Type="http://schemas.openxmlformats.org/officeDocument/2006/relationships/hyperlink" Target="http://uwmsk.org/arthrography/wrist-arthro.p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F1869F4-E676-4DCB-B802-0E30B9651F29}">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Gabrielle Heard | Anderson College | Head Office</cp:lastModifiedBy>
  <cp:revision>3</cp:revision>
  <cp:lastPrinted>2018-02-06T15:53:00Z</cp:lastPrinted>
  <dcterms:created xsi:type="dcterms:W3CDTF">2023-01-19T20:39:00Z</dcterms:created>
  <dcterms:modified xsi:type="dcterms:W3CDTF">2025-02-15T17:41:00Z</dcterms:modified>
</cp:coreProperties>
</file>