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0"/>
        <w:ind w:right="14400" w:left="-1440"/>
        <w:rPr/>
      </w:pPr>
      <w:r/>
      <w:r/>
    </w:p>
    <w:tbl>
      <w:tblPr>
        <w:tblStyle w:val="664"/>
        <w:tblW w:w="14935" w:type="dxa"/>
        <w:tblInd w:w="-869" w:type="dxa"/>
        <w:tblBorders/>
        <w:tblCellMar>
          <w:left w:w="108" w:type="dxa"/>
          <w:top w:w="45" w:type="dxa"/>
          <w:right w:w="46" w:type="dxa"/>
        </w:tblCellMar>
        <w:tblLook w:val="04A0" w:firstRow="1" w:lastRow="0" w:firstColumn="1" w:lastColumn="0" w:noHBand="0" w:noVBand="1"/>
      </w:tblPr>
      <w:tblGrid>
        <w:gridCol w:w="1702"/>
        <w:gridCol w:w="3400"/>
        <w:gridCol w:w="3403"/>
        <w:gridCol w:w="3401"/>
        <w:gridCol w:w="3029"/>
      </w:tblGrid>
      <w:tr>
        <w:trPr>
          <w:trHeight w:val="1450"/>
        </w:trPr>
        <w:tc>
          <w:tcPr>
            <w:gridSpan w:val="2"/>
            <w:tcBorders>
              <w:top w:val="single" w:color="000000" w:sz="4" w:space="0"/>
              <w:left w:val="single" w:color="000000" w:sz="4" w:space="0"/>
              <w:bottom w:val="single" w:color="000000" w:sz="4" w:space="0"/>
              <w:right w:val="none" w:color="000000" w:sz="4" w:space="0"/>
            </w:tcBorders>
            <w:tcW w:w="5102" w:type="dxa"/>
            <w:textDirection w:val="lrTb"/>
            <w:noWrap w:val="false"/>
          </w:tcPr>
          <w:p>
            <w:pPr>
              <w:pBdr/>
              <w:spacing/>
              <w:ind/>
              <w:rPr>
                <w:rFonts w:ascii="Futura PT Demi" w:hAnsi="Futura PT Demi"/>
                <w:b/>
                <w:bCs/>
                <w:sz w:val="28"/>
                <w:szCs w:val="28"/>
              </w:rPr>
            </w:pPr>
            <w:r>
              <w:rPr>
                <w:rFonts w:ascii="Futura PT Demi" w:hAnsi="Futura PT Demi"/>
                <w:b/>
                <w:bCs/>
                <w:sz w:val="28"/>
                <w:szCs w:val="28"/>
              </w:rPr>
              <w:t xml:space="preserve">ANPH 252 – Hepatobiliary Pathologies Study Chart – ANSWER KEY</w:t>
            </w:r>
            <w:r>
              <w:rPr>
                <w:rFonts w:ascii="Futura PT Demi" w:hAnsi="Futura PT Demi"/>
                <w:b/>
                <w:bCs/>
                <w:sz w:val="28"/>
                <w:szCs w:val="28"/>
              </w:rPr>
            </w:r>
          </w:p>
        </w:tc>
        <w:tc>
          <w:tcPr>
            <w:tcBorders>
              <w:top w:val="single" w:color="000000" w:sz="4" w:space="0"/>
              <w:left w:val="none" w:color="000000" w:sz="4" w:space="0"/>
              <w:bottom w:val="single" w:color="000000" w:sz="4" w:space="0"/>
              <w:right w:val="none" w:color="000000" w:sz="4" w:space="0"/>
            </w:tcBorders>
            <w:tcW w:w="3403" w:type="dxa"/>
            <w:textDirection w:val="lrTb"/>
            <w:noWrap w:val="false"/>
          </w:tcPr>
          <w:p>
            <w:pPr>
              <w:pBdr/>
              <w:spacing/>
              <w:ind/>
              <w:rPr/>
            </w:pPr>
            <w:r/>
            <w:r/>
          </w:p>
        </w:tc>
        <w:tc>
          <w:tcPr>
            <w:gridSpan w:val="2"/>
            <w:tcBorders>
              <w:top w:val="single" w:color="000000" w:sz="4" w:space="0"/>
              <w:left w:val="none" w:color="000000" w:sz="4" w:space="0"/>
              <w:bottom w:val="single" w:color="000000" w:sz="4" w:space="0"/>
              <w:right w:val="single" w:color="000000" w:sz="4" w:space="0"/>
            </w:tcBorders>
            <w:tcW w:w="6430" w:type="dxa"/>
            <w:textDirection w:val="lrTb"/>
            <w:noWrap w:val="false"/>
          </w:tcPr>
          <w:p>
            <w:pPr>
              <w:pBdr/>
              <w:spacing/>
              <w:ind w:left="5033"/>
              <w:rPr/>
            </w:pPr>
            <w:r>
              <mc:AlternateContent>
                <mc:Choice Requires="wpg">
                  <w:drawing>
                    <wp:inline xmlns:wp="http://schemas.openxmlformats.org/drawingml/2006/wordprocessingDrawing" distT="0" distB="0" distL="0" distR="0">
                      <wp:extent cx="621947" cy="621878"/>
                      <wp:effectExtent l="0" t="0" r="0" b="0"/>
                      <wp:docPr id="2" name="Picture 197"/>
                      <wp:cNvGraphicFramePr/>
                      <a:graphic xmlns:a="http://schemas.openxmlformats.org/drawingml/2006/main">
                        <a:graphicData uri="http://schemas.openxmlformats.org/drawingml/2006/picture">
                          <pic:pic xmlns:pic="http://schemas.openxmlformats.org/drawingml/2006/picture">
                            <pic:nvPicPr>
                              <pic:cNvPr id="197" name="Picture 197"/>
                              <pic:cNvPicPr/>
                              <pic:nvPr/>
                            </pic:nvPicPr>
                            <pic:blipFill>
                              <a:blip r:embed="rId12"/>
                              <a:stretch/>
                            </pic:blipFill>
                            <pic:spPr bwMode="auto">
                              <a:xfrm>
                                <a:off x="0" y="0"/>
                                <a:ext cx="621947" cy="621878"/>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48.97pt;height:48.97pt;mso-wrap-distance-left:0.00pt;mso-wrap-distance-top:0.00pt;mso-wrap-distance-right:0.00pt;mso-wrap-distance-bottom:0.00pt;z-index:1;" stroked="false">
                      <v:imagedata r:id="rId12" o:title=""/>
                      <o:lock v:ext="edit" rotation="t"/>
                    </v:shape>
                  </w:pict>
                </mc:Fallback>
              </mc:AlternateContent>
            </w:r>
            <w:r/>
          </w:p>
        </w:tc>
      </w:tr>
      <w:tr>
        <w:trPr>
          <w:trHeight w:val="3511"/>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Bdr/>
              <w:spacing/>
              <w:ind/>
              <w:rPr/>
            </w:pPr>
            <w:r>
              <w:rPr>
                <w:b/>
                <w:sz w:val="20"/>
              </w:rPr>
              <w:t xml:space="preserve">Cholelithiasis (Gallstones)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Pr/>
            </w:pPr>
            <w:r>
              <w:rPr>
                <w:b/>
                <w:sz w:val="20"/>
              </w:rPr>
              <w:t xml:space="preserve">What is it? </w:t>
            </w:r>
            <w:r/>
          </w:p>
          <w:p>
            <w:pPr>
              <w:pBdr/>
              <w:spacing w:after="1" w:line="241" w:lineRule="auto"/>
              <w:ind w:right="48"/>
              <w:rPr/>
            </w:pPr>
            <w:r>
              <w:rPr>
                <w:sz w:val="20"/>
              </w:rPr>
              <w:t xml:space="preserve">A condition characterized by </w:t>
            </w:r>
            <w:r>
              <w:rPr>
                <w:sz w:val="20"/>
              </w:rPr>
              <w:t xml:space="preserve">freelymoving</w:t>
            </w:r>
            <w:r>
              <w:rPr>
                <w:sz w:val="20"/>
              </w:rPr>
              <w:t xml:space="preserve"> stones in the gallbladder. Commonly made of cholesterol, that has precipitated out of the bile, because of chemical imbalances or the gallbladder’s failure to empty regularly. Risk factors include genetics, age over 40, excess weight, and female. </w:t>
            </w:r>
            <w:r/>
          </w:p>
          <w:p>
            <w:pPr>
              <w:pBdr/>
              <w:spacing/>
              <w:ind w:right="21"/>
              <w:rPr/>
            </w:pPr>
            <w:r>
              <w:rPr>
                <w:sz w:val="20"/>
              </w:rPr>
              <w:t xml:space="preserve">Significant rapid weight-loss achieved through bariatric surgical procedures or extreme dieting increase the chances of developing gallstones. </w:t>
            </w:r>
            <w:r/>
          </w:p>
        </w:tc>
        <w:tc>
          <w:tcPr>
            <w:tcBorders>
              <w:top w:val="single" w:color="000000" w:sz="4" w:space="0"/>
              <w:left w:val="single" w:color="000000" w:sz="4" w:space="0"/>
              <w:bottom w:val="single" w:color="000000" w:sz="4" w:space="0"/>
              <w:right w:val="single" w:color="000000" w:sz="4" w:space="0"/>
            </w:tcBorders>
            <w:tcW w:w="3403" w:type="dxa"/>
            <w:textDirection w:val="lrTb"/>
            <w:noWrap w:val="false"/>
          </w:tcPr>
          <w:p>
            <w:pPr>
              <w:pBdr/>
              <w:spacing/>
              <w:ind w:right="14" w:left="3"/>
              <w:rPr/>
            </w:pPr>
            <w:r>
              <w:rPr>
                <w:b/>
                <w:sz w:val="20"/>
              </w:rPr>
              <w:t xml:space="preserve">Symptoms/Complications: </w:t>
            </w:r>
            <w:r>
              <w:rPr>
                <w:sz w:val="20"/>
              </w:rPr>
              <w:t xml:space="preserve">Gallstones can block any of the ducts in the biliary tree. Pain is a common symptom.  </w:t>
            </w:r>
            <w:r>
              <w:rPr>
                <w:sz w:val="20"/>
                <w:u w:val="single"/>
              </w:rPr>
              <w:t xml:space="preserve">If a</w:t>
            </w:r>
            <w:r>
              <w:rPr>
                <w:sz w:val="20"/>
              </w:rPr>
              <w:t xml:space="preserve"> </w:t>
            </w:r>
            <w:r>
              <w:rPr>
                <w:sz w:val="20"/>
                <w:u w:val="single"/>
              </w:rPr>
              <w:t xml:space="preserve">stone blocks the common bile duct</w:t>
            </w:r>
            <w:r>
              <w:rPr>
                <w:sz w:val="20"/>
              </w:rPr>
              <w:t xml:space="preserve">, bile cannot reach the duodenum, and bile pigments will be absorbed into the blood stream causing jaundice, and gray-white feces. If only the cystic duct is blocked, jaundice will not occur as bile cannot be absorbed directly from the gall bladder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ight="76"/>
              <w:jc w:val="both"/>
              <w:rPr/>
            </w:pPr>
            <w:r>
              <w:rPr>
                <w:b/>
                <w:sz w:val="20"/>
              </w:rPr>
              <w:t xml:space="preserve">Radiographic indications:</w:t>
            </w:r>
            <w:r>
              <w:rPr>
                <w:sz w:val="20"/>
              </w:rPr>
              <w:t xml:space="preserve">  </w:t>
            </w:r>
            <w:r>
              <w:rPr>
                <w:sz w:val="20"/>
                <w:u w:val="single"/>
              </w:rPr>
              <w:t xml:space="preserve">Usually</w:t>
            </w:r>
            <w:r>
              <w:rPr>
                <w:sz w:val="20"/>
              </w:rPr>
              <w:t xml:space="preserve"> </w:t>
            </w:r>
            <w:r>
              <w:rPr>
                <w:sz w:val="20"/>
                <w:u w:val="single"/>
              </w:rPr>
              <w:t xml:space="preserve">diagnosed with ultrasound</w:t>
            </w:r>
            <w:r>
              <w:rPr>
                <w:sz w:val="20"/>
              </w:rPr>
              <w:t xml:space="preserve"> as only 20% of stones contain enough calcium to be seen on plain radiographs. Demonstration of mobility is a key imaging requi</w:t>
            </w:r>
            <w:r>
              <w:rPr>
                <w:sz w:val="20"/>
              </w:rPr>
              <w:t xml:space="preserve">rement, so patients are examined in various positions to allow the stones to roll to the dependent portion of the gallbladder.  Stones may be broken up with lithotripsy, dissolved with medication, or removed during ERCP, laparoscopic or abdominal surgery. </w:t>
            </w:r>
            <w:r/>
          </w:p>
        </w:tc>
        <w:tc>
          <w:tcPr>
            <w:tcBorders>
              <w:top w:val="single" w:color="000000" w:sz="4" w:space="0"/>
              <w:left w:val="single" w:color="000000" w:sz="4" w:space="0"/>
              <w:bottom w:val="single" w:color="000000" w:sz="4" w:space="0"/>
              <w:right w:val="single" w:color="000000" w:sz="4" w:space="0"/>
            </w:tcBorders>
            <w:tcW w:w="3029" w:type="dxa"/>
            <w:textDirection w:val="lrTb"/>
            <w:noWrap w:val="false"/>
          </w:tcPr>
          <w:p>
            <w:pPr>
              <w:pBdr/>
              <w:spacing/>
              <w:ind/>
              <w:rPr/>
            </w:pPr>
            <w:r/>
            <w:r/>
          </w:p>
        </w:tc>
      </w:tr>
      <w:tr>
        <w:trPr>
          <w:trHeight w:val="1711"/>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Bdr/>
              <w:spacing/>
              <w:ind/>
              <w:rPr/>
            </w:pPr>
            <w:r>
              <w:rPr>
                <w:b/>
                <w:sz w:val="20"/>
              </w:rPr>
              <w:t xml:space="preserve">Cholecystitis</w:t>
            </w:r>
            <w:r>
              <w:rPr>
                <w:sz w:val="20"/>
              </w:rPr>
              <w:t xml:space="preserve">.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ight="24"/>
              <w:rPr/>
            </w:pPr>
            <w:r>
              <w:rPr>
                <w:b/>
                <w:sz w:val="20"/>
              </w:rPr>
              <w:t xml:space="preserve">What it is?</w:t>
            </w:r>
            <w:r>
              <w:rPr>
                <w:sz w:val="20"/>
              </w:rPr>
              <w:t xml:space="preserve">  An acute inflammation of the gallbladder is most often (95%) caused by obstruction of the cystic duct by a gallstone.   </w:t>
            </w:r>
            <w:r/>
          </w:p>
        </w:tc>
        <w:tc>
          <w:tcPr>
            <w:tcBorders>
              <w:top w:val="single" w:color="000000" w:sz="4" w:space="0"/>
              <w:left w:val="single" w:color="000000" w:sz="4" w:space="0"/>
              <w:bottom w:val="single" w:color="000000" w:sz="4" w:space="0"/>
              <w:right w:val="single" w:color="000000" w:sz="4" w:space="0"/>
            </w:tcBorders>
            <w:tcW w:w="3403" w:type="dxa"/>
            <w:textDirection w:val="lrTb"/>
            <w:noWrap w:val="false"/>
          </w:tcPr>
          <w:p>
            <w:pPr>
              <w:pBdr/>
              <w:spacing/>
              <w:ind w:left="3"/>
              <w:rPr/>
            </w:pPr>
            <w:r>
              <w:rPr>
                <w:b/>
                <w:sz w:val="20"/>
              </w:rPr>
              <w:t xml:space="preserve">Symptoms/complications: </w:t>
            </w:r>
            <w:r>
              <w:rPr>
                <w:sz w:val="20"/>
              </w:rPr>
              <w:t xml:space="preserve">Gallstones can damage mucosal layers which allows bacteria to enter the tissues.  Edema in the gallbladder wall and pain over the RUQ are common symptoms.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Pr/>
            </w:pPr>
            <w:r>
              <w:rPr>
                <w:b/>
                <w:sz w:val="20"/>
              </w:rPr>
              <w:t xml:space="preserve">Radiographic indications</w:t>
            </w:r>
            <w:r>
              <w:rPr>
                <w:sz w:val="20"/>
              </w:rPr>
              <w:t xml:space="preserve">... Diagnosis is by a sonographic exam or radionuclide </w:t>
            </w:r>
            <w:r>
              <w:rPr>
                <w:sz w:val="20"/>
              </w:rPr>
              <w:t xml:space="preserve">cholescinitigraphy</w:t>
            </w:r>
            <w:r>
              <w:rPr>
                <w:sz w:val="20"/>
              </w:rPr>
              <w:t xml:space="preserve">. Cholecystectomy is common treatment.  </w:t>
            </w:r>
            <w:r/>
          </w:p>
        </w:tc>
        <w:tc>
          <w:tcPr>
            <w:tcBorders>
              <w:top w:val="single" w:color="000000" w:sz="4" w:space="0"/>
              <w:left w:val="single" w:color="000000" w:sz="4" w:space="0"/>
              <w:bottom w:val="single" w:color="000000" w:sz="4" w:space="0"/>
              <w:right w:val="single" w:color="000000" w:sz="4" w:space="0"/>
            </w:tcBorders>
            <w:tcW w:w="3029" w:type="dxa"/>
            <w:textDirection w:val="lrTb"/>
            <w:noWrap w:val="false"/>
          </w:tcPr>
          <w:p>
            <w:pPr>
              <w:pBdr/>
              <w:spacing/>
              <w:ind/>
              <w:rPr/>
            </w:pPr>
            <w:r/>
            <w:r/>
          </w:p>
        </w:tc>
      </w:tr>
      <w:tr>
        <w:trPr>
          <w:trHeight w:val="3744"/>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Bdr/>
              <w:spacing/>
              <w:ind/>
              <w:rPr/>
            </w:pPr>
            <w:r>
              <w:rPr>
                <w:b/>
                <w:sz w:val="20"/>
              </w:rPr>
              <w:t xml:space="preserve">Hepatitis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Pr/>
            </w:pPr>
            <w:r>
              <w:rPr>
                <w:b/>
                <w:sz w:val="20"/>
              </w:rPr>
              <w:t xml:space="preserve">What is it?  </w:t>
            </w:r>
            <w:r>
              <w:rPr>
                <w:sz w:val="20"/>
              </w:rPr>
              <w:t xml:space="preserve">Most common inflammatory disease of the liver.  </w:t>
            </w:r>
            <w:r>
              <w:rPr>
                <w:sz w:val="20"/>
              </w:rPr>
              <w:t xml:space="preserve">Usually caused by virus, or reaction to drugs or toxins.  Hep A and E– transmitted in GI tract by ingesting food contaminated with feca</w:t>
            </w:r>
            <w:r>
              <w:rPr>
                <w:sz w:val="20"/>
              </w:rPr>
              <w:t xml:space="preserve">l matter. Usually self-limiting with a good prognosis. Hep B (serum hepatitis) – Spread through blood, blood products and sexual contact. Hep C – most common cause of chronic hepatitis, cirrhosis, or liver CA. Spread by blood transfusion or sexual contact.</w:t>
            </w:r>
            <w:r>
              <w:rPr>
                <w:b/>
                <w:sz w:val="20"/>
              </w:rPr>
              <w:t xml:space="preserve"> </w:t>
            </w:r>
            <w:r/>
          </w:p>
        </w:tc>
        <w:tc>
          <w:tcPr>
            <w:tcBorders>
              <w:top w:val="single" w:color="000000" w:sz="4" w:space="0"/>
              <w:left w:val="single" w:color="000000" w:sz="4" w:space="0"/>
              <w:bottom w:val="single" w:color="000000" w:sz="4" w:space="0"/>
              <w:right w:val="single" w:color="000000" w:sz="4" w:space="0"/>
            </w:tcBorders>
            <w:tcW w:w="3403" w:type="dxa"/>
            <w:textDirection w:val="lrTb"/>
            <w:noWrap w:val="false"/>
          </w:tcPr>
          <w:p>
            <w:pPr>
              <w:pBdr/>
              <w:spacing w:after="1" w:line="241" w:lineRule="auto"/>
              <w:ind w:right="5" w:left="3"/>
              <w:rPr/>
            </w:pPr>
            <w:r>
              <w:rPr>
                <w:b/>
                <w:sz w:val="20"/>
              </w:rPr>
              <w:t xml:space="preserve">Symptoms/complications –</w:t>
            </w:r>
            <w:r>
              <w:rPr>
                <w:sz w:val="20"/>
              </w:rPr>
              <w:t xml:space="preserve">Jaundice, pain, nausea, vomiting, tenderness over liver, Without treatment cirrhosis, portal hypertension, hepatocellular necrosis with inflammation and “fatty </w:t>
            </w:r>
            <w:r/>
          </w:p>
          <w:p>
            <w:pPr>
              <w:pBdr/>
              <w:spacing/>
              <w:ind w:right="60" w:left="3"/>
              <w:rPr/>
            </w:pPr>
            <w:r>
              <w:rPr>
                <w:sz w:val="20"/>
              </w:rPr>
              <w:t xml:space="preserve">liver”.  Increased risk for hepatocellular carcinoma. </w:t>
            </w:r>
            <w:r>
              <w:rPr>
                <w:b/>
                <w:sz w:val="20"/>
              </w:rPr>
              <w:t xml:space="preserve">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Pr/>
            </w:pPr>
            <w:r>
              <w:rPr>
                <w:b/>
                <w:sz w:val="20"/>
              </w:rPr>
              <w:t xml:space="preserve">Radiographic indications</w:t>
            </w:r>
            <w:r>
              <w:rPr>
                <w:sz w:val="20"/>
              </w:rPr>
              <w:t xml:space="preserve">... Not visible on diagnostic </w:t>
            </w:r>
            <w:r>
              <w:rPr>
                <w:sz w:val="20"/>
              </w:rPr>
              <w:t xml:space="preserve">images in early stages.  Cirrhosis or CA can be demonstrated in more advanced stages. Prevention is the best medicine i.e. vaccinations (for A and B) and standard precautions.  Antiviral drugs can be used to control the disease once it has been contracted.</w:t>
            </w:r>
            <w:r>
              <w:rPr>
                <w:b/>
                <w:sz w:val="20"/>
              </w:rPr>
              <w:t xml:space="preserve"> </w:t>
            </w:r>
            <w:r/>
          </w:p>
        </w:tc>
        <w:tc>
          <w:tcPr>
            <w:tcBorders>
              <w:top w:val="single" w:color="000000" w:sz="4" w:space="0"/>
              <w:left w:val="single" w:color="000000" w:sz="4" w:space="0"/>
              <w:bottom w:val="single" w:color="000000" w:sz="4" w:space="0"/>
              <w:right w:val="single" w:color="000000" w:sz="4" w:space="0"/>
            </w:tcBorders>
            <w:tcW w:w="3029" w:type="dxa"/>
            <w:textDirection w:val="lrTb"/>
            <w:noWrap w:val="false"/>
          </w:tcPr>
          <w:p>
            <w:pPr>
              <w:pBdr/>
              <w:spacing/>
              <w:ind/>
              <w:rPr/>
            </w:pPr>
            <w:r/>
            <w:r/>
          </w:p>
        </w:tc>
      </w:tr>
    </w:tbl>
    <w:p>
      <w:pPr>
        <w:pBdr/>
        <w:spacing w:after="0"/>
        <w:ind w:right="14400" w:left="-1440"/>
        <w:rPr/>
      </w:pPr>
      <w:r/>
      <w:r/>
    </w:p>
    <w:tbl>
      <w:tblPr>
        <w:tblStyle w:val="664"/>
        <w:tblW w:w="14935" w:type="dxa"/>
        <w:tblInd w:w="-869" w:type="dxa"/>
        <w:tblBorders/>
        <w:tblCellMar>
          <w:left w:w="108" w:type="dxa"/>
          <w:top w:w="45" w:type="dxa"/>
          <w:right w:w="61" w:type="dxa"/>
        </w:tblCellMar>
        <w:tblLook w:val="04A0" w:firstRow="1" w:lastRow="0" w:firstColumn="1" w:lastColumn="0" w:noHBand="0" w:noVBand="1"/>
      </w:tblPr>
      <w:tblGrid>
        <w:gridCol w:w="1701"/>
        <w:gridCol w:w="3401"/>
        <w:gridCol w:w="3403"/>
        <w:gridCol w:w="3401"/>
        <w:gridCol w:w="3029"/>
      </w:tblGrid>
      <w:tr>
        <w:trPr>
          <w:trHeight w:val="3521"/>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Bdr/>
              <w:spacing/>
              <w:ind/>
              <w:rPr/>
            </w:pPr>
            <w:r>
              <w:rPr>
                <w:b/>
                <w:sz w:val="20"/>
              </w:rPr>
              <w:t xml:space="preserve">Cirrhosis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ight="41"/>
              <w:rPr/>
            </w:pPr>
            <w:r>
              <w:rPr>
                <w:b/>
                <w:sz w:val="20"/>
              </w:rPr>
              <w:t xml:space="preserve">What Is It? </w:t>
            </w:r>
            <w:r>
              <w:rPr>
                <w:sz w:val="20"/>
              </w:rPr>
              <w:t xml:space="preserve">Chronic destruction of liver cells that causes parenchyma to be replaced by nodular fibrotic scar tissue, Most often caused by chronic alcohol abuse, and its associated malnutrition, hepatitis, toxins or biliary disease </w:t>
            </w:r>
            <w:r/>
          </w:p>
        </w:tc>
        <w:tc>
          <w:tcPr>
            <w:tcBorders>
              <w:top w:val="single" w:color="000000" w:sz="4" w:space="0"/>
              <w:left w:val="single" w:color="000000" w:sz="4" w:space="0"/>
              <w:bottom w:val="single" w:color="000000" w:sz="4" w:space="0"/>
              <w:right w:val="single" w:color="000000" w:sz="4" w:space="0"/>
            </w:tcBorders>
            <w:tcW w:w="3403" w:type="dxa"/>
            <w:textDirection w:val="lrTb"/>
            <w:noWrap w:val="false"/>
          </w:tcPr>
          <w:p>
            <w:pPr>
              <w:pBdr/>
              <w:spacing w:line="241" w:lineRule="auto"/>
              <w:ind w:left="3"/>
              <w:rPr/>
            </w:pPr>
            <w:r>
              <w:rPr>
                <w:b/>
                <w:sz w:val="20"/>
              </w:rPr>
              <w:t xml:space="preserve">Symptoms</w:t>
            </w:r>
            <w:r>
              <w:rPr>
                <w:sz w:val="20"/>
              </w:rPr>
              <w:t xml:space="preserve"> –Alcohol cirrhosis causes fatty liver disease initially, but</w:t>
            </w:r>
            <w:r>
              <w:rPr>
                <w:sz w:val="20"/>
              </w:rPr>
              <w:t xml:space="preserve"> all forms progress from an initial stage of liver enlargement caused by nodular regeneration, to an advanced stage characterized by shrinking and hardening of the normal parenchyma: portal hypertension, splenomegaly, caput medusa, esophageal varices, and </w:t>
            </w:r>
            <w:r>
              <w:rPr>
                <w:b/>
                <w:sz w:val="20"/>
                <w:u w:val="single"/>
              </w:rPr>
              <w:t xml:space="preserve">ascites</w:t>
            </w:r>
            <w:r>
              <w:rPr>
                <w:sz w:val="20"/>
              </w:rPr>
              <w:t xml:space="preserve"> are end-stage developments. </w:t>
            </w:r>
            <w:r/>
          </w:p>
          <w:p>
            <w:pPr>
              <w:pBdr/>
              <w:spacing/>
              <w:ind w:left="3"/>
              <w:rPr/>
            </w:pPr>
            <w:r>
              <w:rPr>
                <w:sz w:val="20"/>
              </w:rPr>
              <w:t xml:space="preserve">Hemorrhage of varices is often fatal.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Pr/>
            </w:pPr>
            <w:r>
              <w:rPr>
                <w:b/>
                <w:sz w:val="20"/>
              </w:rPr>
              <w:t xml:space="preserve">Radiographic Considerations</w:t>
            </w:r>
            <w:r>
              <w:rPr>
                <w:sz w:val="20"/>
              </w:rPr>
              <w:t xml:space="preserve"> – </w:t>
            </w:r>
            <w:r/>
          </w:p>
          <w:p>
            <w:pPr>
              <w:pBdr/>
              <w:spacing/>
              <w:ind w:right="6"/>
              <w:rPr/>
            </w:pPr>
            <w:r>
              <w:rPr>
                <w:sz w:val="20"/>
              </w:rPr>
              <w:t xml:space="preserve">Cirrhosis is seen on ultrasound, CT, and plain radiographs, but is best diagnosed through biopsy.  Ascites appears as a “ground glass” on plain radiographs.  </w:t>
            </w:r>
            <w:r/>
          </w:p>
        </w:tc>
        <w:tc>
          <w:tcPr>
            <w:tcBorders>
              <w:top w:val="single" w:color="000000" w:sz="4" w:space="0"/>
              <w:left w:val="single" w:color="000000" w:sz="4" w:space="0"/>
              <w:bottom w:val="single" w:color="000000" w:sz="4" w:space="0"/>
              <w:right w:val="single" w:color="000000" w:sz="4" w:space="0"/>
            </w:tcBorders>
            <w:tcW w:w="3029" w:type="dxa"/>
            <w:textDirection w:val="lrTb"/>
            <w:noWrap w:val="false"/>
          </w:tcPr>
          <w:p>
            <w:pPr>
              <w:pBdr/>
              <w:spacing/>
              <w:ind w:left="3"/>
              <w:rPr/>
            </w:pPr>
            <w:r>
              <w:rPr>
                <w:sz w:val="20"/>
              </w:rPr>
              <w:t xml:space="preserve">No significant image. </w:t>
            </w:r>
            <w:r/>
          </w:p>
        </w:tc>
      </w:tr>
      <w:tr>
        <w:trPr>
          <w:trHeight w:val="305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Bdr/>
              <w:spacing/>
              <w:ind/>
              <w:rPr/>
            </w:pPr>
            <w:r>
              <w:rPr>
                <w:b/>
                <w:sz w:val="20"/>
              </w:rPr>
              <w:t xml:space="preserve">Hepatocellular carcinoma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Pr/>
            </w:pPr>
            <w:r>
              <w:rPr>
                <w:b/>
                <w:sz w:val="20"/>
              </w:rPr>
              <w:t xml:space="preserve">What is it? </w:t>
            </w:r>
            <w:r>
              <w:rPr>
                <w:b/>
                <w:sz w:val="20"/>
                <w:u w:val="single"/>
              </w:rPr>
              <w:t xml:space="preserve">Primary liver cancer</w:t>
            </w:r>
            <w:r>
              <w:rPr>
                <w:sz w:val="20"/>
              </w:rPr>
              <w:t xml:space="preserve"> (originating in the liver) is most commonly associated with alcoholism and cirrhosis </w:t>
            </w:r>
            <w:r/>
          </w:p>
        </w:tc>
        <w:tc>
          <w:tcPr>
            <w:tcBorders>
              <w:top w:val="single" w:color="000000" w:sz="4" w:space="0"/>
              <w:left w:val="single" w:color="000000" w:sz="4" w:space="0"/>
              <w:bottom w:val="single" w:color="000000" w:sz="4" w:space="0"/>
              <w:right w:val="single" w:color="000000" w:sz="4" w:space="0"/>
            </w:tcBorders>
            <w:tcW w:w="3403" w:type="dxa"/>
            <w:textDirection w:val="lrTb"/>
            <w:noWrap w:val="false"/>
          </w:tcPr>
          <w:p>
            <w:pPr>
              <w:pBdr/>
              <w:spacing/>
              <w:ind w:right="9" w:left="3"/>
              <w:rPr/>
            </w:pPr>
            <w:r>
              <w:rPr>
                <w:b/>
                <w:sz w:val="20"/>
              </w:rPr>
              <w:t xml:space="preserve">Symptoms/Complications: </w:t>
            </w:r>
            <w:r>
              <w:rPr>
                <w:sz w:val="20"/>
              </w:rPr>
              <w:t xml:space="preserve">Central liver mass that alters the contour of the liver.  IV contrast enhanced CT will “light-up” the tumour.    Usually causes death do to hemorrhage before cancer spreads outside of liver.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ight="34"/>
              <w:rPr/>
            </w:pPr>
            <w:r>
              <w:rPr>
                <w:b/>
                <w:sz w:val="20"/>
              </w:rPr>
              <w:t xml:space="preserve">Radiographic Indications: </w:t>
            </w:r>
            <w:r>
              <w:rPr>
                <w:sz w:val="20"/>
              </w:rPr>
              <w:t xml:space="preserve">  Chemotherapy may extend life somewhat, but the disease is fatal except in cases where a liver transplant or resection remains a viable option. Hemorrhage into the peritoneal cavity is a common cause of death </w:t>
            </w:r>
            <w:r/>
          </w:p>
        </w:tc>
        <w:tc>
          <w:tcPr>
            <w:tcBorders>
              <w:top w:val="single" w:color="000000" w:sz="4" w:space="0"/>
              <w:left w:val="single" w:color="000000" w:sz="4" w:space="0"/>
              <w:bottom w:val="single" w:color="000000" w:sz="4" w:space="0"/>
              <w:right w:val="single" w:color="000000" w:sz="4" w:space="0"/>
            </w:tcBorders>
            <w:tcW w:w="3029" w:type="dxa"/>
            <w:textDirection w:val="lrTb"/>
            <w:noWrap w:val="false"/>
          </w:tcPr>
          <w:p>
            <w:pPr>
              <w:pBdr/>
              <w:spacing/>
              <w:ind/>
              <w:rPr/>
            </w:pPr>
            <w:r/>
            <w:r/>
          </w:p>
        </w:tc>
      </w:tr>
      <w:tr>
        <w:trPr>
          <w:trHeight w:val="2153"/>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Bdr/>
              <w:spacing/>
              <w:ind/>
              <w:rPr/>
            </w:pPr>
            <w:r>
              <w:rPr>
                <w:b/>
                <w:sz w:val="20"/>
              </w:rPr>
              <w:t xml:space="preserve">Metastatic Liver Disease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Pr/>
            </w:pPr>
            <w:r>
              <w:rPr>
                <w:b/>
                <w:sz w:val="20"/>
              </w:rPr>
              <w:t xml:space="preserve">What is it? </w:t>
            </w:r>
            <w:r/>
          </w:p>
          <w:p>
            <w:pPr>
              <w:pBdr/>
              <w:spacing/>
              <w:ind/>
              <w:rPr/>
            </w:pPr>
            <w:r>
              <w:rPr>
                <w:sz w:val="20"/>
              </w:rPr>
              <w:t xml:space="preserve">Most common malignancy of the liver. Because of the liver's role in filtering blood, it is common for cancers in other parts of the body to metastasize in the liver. </w:t>
            </w:r>
            <w:r/>
          </w:p>
        </w:tc>
        <w:tc>
          <w:tcPr>
            <w:tcBorders>
              <w:top w:val="single" w:color="000000" w:sz="4" w:space="0"/>
              <w:left w:val="single" w:color="000000" w:sz="4" w:space="0"/>
              <w:bottom w:val="single" w:color="000000" w:sz="4" w:space="0"/>
              <w:right w:val="single" w:color="000000" w:sz="4" w:space="0"/>
            </w:tcBorders>
            <w:tcW w:w="3403" w:type="dxa"/>
            <w:textDirection w:val="lrTb"/>
            <w:noWrap w:val="false"/>
          </w:tcPr>
          <w:p>
            <w:pPr>
              <w:pBdr/>
              <w:spacing/>
              <w:ind w:left="3"/>
              <w:rPr/>
            </w:pPr>
            <w:r>
              <w:rPr>
                <w:b/>
                <w:sz w:val="20"/>
              </w:rPr>
              <w:t xml:space="preserve">Symptoms: </w:t>
            </w:r>
            <w:r/>
          </w:p>
          <w:p>
            <w:pPr>
              <w:pBdr/>
              <w:spacing/>
              <w:ind w:left="3"/>
              <w:rPr/>
            </w:pPr>
            <w:r>
              <w:rPr>
                <w:sz w:val="20"/>
              </w:rPr>
              <w:t xml:space="preserve">Much more common than primary </w:t>
            </w:r>
            <w:r/>
          </w:p>
          <w:p>
            <w:pPr>
              <w:pBdr/>
              <w:spacing w:line="242" w:lineRule="auto"/>
              <w:ind w:left="3"/>
              <w:rPr/>
            </w:pPr>
            <w:r>
              <w:rPr>
                <w:sz w:val="20"/>
              </w:rPr>
              <w:t xml:space="preserve">liver cancer.  Jaundice, tenderness, and hepatomegaly are possible symptoms. </w:t>
            </w:r>
            <w:r/>
          </w:p>
          <w:p>
            <w:pPr>
              <w:pBdr/>
              <w:spacing/>
              <w:ind w:left="3"/>
              <w:rPr/>
            </w:pPr>
            <w:r>
              <w:rPr>
                <w:sz w:val="20"/>
              </w:rPr>
              <w:t xml:space="preserve">(could not find any mention of symptoms in the textbook, this comes from Wikipedia)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ight="107"/>
              <w:rPr/>
            </w:pPr>
            <w:r>
              <w:rPr>
                <w:b/>
                <w:sz w:val="20"/>
              </w:rPr>
              <w:t xml:space="preserve">Radiographic considerations: </w:t>
            </w:r>
            <w:r>
              <w:rPr>
                <w:sz w:val="20"/>
              </w:rPr>
              <w:t xml:space="preserve">CT and MRI most effective for visualizing tumours, and biopsy can be used to confirm diagnosis. Death occurs within months of initial diagnosis. </w:t>
            </w:r>
            <w:r/>
          </w:p>
        </w:tc>
        <w:tc>
          <w:tcPr>
            <w:tcBorders>
              <w:top w:val="single" w:color="000000" w:sz="4" w:space="0"/>
              <w:left w:val="single" w:color="000000" w:sz="4" w:space="0"/>
              <w:bottom w:val="single" w:color="000000" w:sz="4" w:space="0"/>
              <w:right w:val="single" w:color="000000" w:sz="4" w:space="0"/>
            </w:tcBorders>
            <w:tcW w:w="3029" w:type="dxa"/>
            <w:textDirection w:val="lrTb"/>
            <w:noWrap w:val="false"/>
          </w:tcPr>
          <w:p>
            <w:pPr>
              <w:pBdr/>
              <w:spacing/>
              <w:ind/>
              <w:rPr/>
            </w:pPr>
            <w:r/>
            <w:r/>
          </w:p>
        </w:tc>
      </w:tr>
    </w:tbl>
    <w:p>
      <w:pPr>
        <w:pBdr/>
        <w:spacing w:after="0"/>
        <w:ind w:right="14400" w:left="-1440"/>
        <w:rPr/>
      </w:pPr>
      <w:r/>
      <w:r/>
    </w:p>
    <w:tbl>
      <w:tblPr>
        <w:tblStyle w:val="664"/>
        <w:tblW w:w="14935" w:type="dxa"/>
        <w:tblInd w:w="-869" w:type="dxa"/>
        <w:tblBorders/>
        <w:tblCellMar>
          <w:left w:w="108" w:type="dxa"/>
          <w:top w:w="45" w:type="dxa"/>
          <w:right w:w="85" w:type="dxa"/>
        </w:tblCellMar>
        <w:tblLook w:val="04A0" w:firstRow="1" w:lastRow="0" w:firstColumn="1" w:lastColumn="0" w:noHBand="0" w:noVBand="1"/>
      </w:tblPr>
      <w:tblGrid>
        <w:gridCol w:w="1701"/>
        <w:gridCol w:w="3401"/>
        <w:gridCol w:w="3403"/>
        <w:gridCol w:w="3401"/>
        <w:gridCol w:w="3029"/>
      </w:tblGrid>
      <w:tr>
        <w:trPr>
          <w:trHeight w:val="3341"/>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Bdr/>
              <w:spacing/>
              <w:ind/>
              <w:rPr/>
            </w:pPr>
            <w:r>
              <w:rPr>
                <w:b/>
                <w:sz w:val="20"/>
              </w:rPr>
              <w:t xml:space="preserve">Acute pancreatitis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Pr/>
            </w:pPr>
            <w:r>
              <w:rPr>
                <w:sz w:val="20"/>
              </w:rPr>
              <w:t xml:space="preserve"> </w:t>
            </w:r>
            <w:r>
              <w:rPr>
                <w:b/>
                <w:sz w:val="20"/>
              </w:rPr>
              <w:t xml:space="preserve">What is it?</w:t>
            </w:r>
            <w:r>
              <w:rPr>
                <w:sz w:val="20"/>
              </w:rPr>
              <w:t xml:space="preserve"> An inflammation of the pancreas caused by digestive enzymes that have become activated, and</w:t>
            </w:r>
            <w:r>
              <w:rPr>
                <w:sz w:val="20"/>
              </w:rPr>
              <w:t xml:space="preserve"> begin to digest the pancreas from the inside out. Most often caused by alcohol abuse but can also follow a gallstone blockage of the ampulla of Vater leading to a reflux of bile into the pancreas </w:t>
            </w:r>
            <w:r/>
          </w:p>
        </w:tc>
        <w:tc>
          <w:tcPr>
            <w:tcBorders>
              <w:top w:val="single" w:color="000000" w:sz="4" w:space="0"/>
              <w:left w:val="single" w:color="000000" w:sz="4" w:space="0"/>
              <w:bottom w:val="single" w:color="000000" w:sz="4" w:space="0"/>
              <w:right w:val="single" w:color="000000" w:sz="4" w:space="0"/>
            </w:tcBorders>
            <w:tcW w:w="3403" w:type="dxa"/>
            <w:textDirection w:val="lrTb"/>
            <w:noWrap w:val="false"/>
          </w:tcPr>
          <w:p>
            <w:pPr>
              <w:pBdr/>
              <w:spacing/>
              <w:ind w:right="20" w:left="2"/>
              <w:rPr/>
            </w:pPr>
            <w:r>
              <w:rPr>
                <w:b/>
                <w:sz w:val="20"/>
              </w:rPr>
              <w:t xml:space="preserve">Symptoms/Complications: </w:t>
            </w:r>
            <w:r>
              <w:rPr>
                <w:sz w:val="20"/>
              </w:rPr>
              <w:t xml:space="preserve">Sudden onset of severe steady abdominal pain, nausea and vomiting. Jaundice will occur if the inflammatory process impacts the common bile duct.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ight="60"/>
              <w:jc w:val="both"/>
              <w:rPr/>
            </w:pPr>
            <w:r>
              <w:rPr>
                <w:b/>
                <w:sz w:val="20"/>
              </w:rPr>
              <w:t xml:space="preserve">Radiographic Indications:</w:t>
            </w:r>
            <w:r>
              <w:rPr>
                <w:sz w:val="20"/>
              </w:rPr>
              <w:t xml:space="preserve">  Abdominal radiographs often appear normal although sometim</w:t>
            </w:r>
            <w:r>
              <w:rPr>
                <w:sz w:val="20"/>
              </w:rPr>
              <w:t xml:space="preserve">es there are indications such as gas/fluid levels, adynamic ileus or displacement of adjacent structures. CT and ultrasound are the modalities of choice for determining diagnosis. Treated with IV fluids, pain and nausea meds, and in some cases antibiotics </w:t>
            </w:r>
            <w:r/>
          </w:p>
        </w:tc>
        <w:tc>
          <w:tcPr>
            <w:tcBorders>
              <w:top w:val="single" w:color="000000" w:sz="4" w:space="0"/>
              <w:left w:val="single" w:color="000000" w:sz="4" w:space="0"/>
              <w:bottom w:val="single" w:color="000000" w:sz="4" w:space="0"/>
              <w:right w:val="single" w:color="000000" w:sz="4" w:space="0"/>
            </w:tcBorders>
            <w:tcW w:w="3029" w:type="dxa"/>
            <w:textDirection w:val="lrTb"/>
            <w:noWrap w:val="false"/>
          </w:tcPr>
          <w:p>
            <w:pPr>
              <w:pBdr/>
              <w:spacing/>
              <w:ind w:left="2"/>
              <w:rPr/>
            </w:pPr>
            <w:r>
              <w:rPr>
                <w:b/>
                <w:sz w:val="20"/>
              </w:rPr>
              <w:t xml:space="preserve">Eisenberg 5-101 </w:t>
            </w:r>
            <w:r/>
          </w:p>
        </w:tc>
      </w:tr>
      <w:tr>
        <w:trPr>
          <w:trHeight w:val="253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Bdr/>
              <w:spacing/>
              <w:ind/>
              <w:rPr/>
            </w:pPr>
            <w:r>
              <w:rPr>
                <w:b/>
                <w:sz w:val="20"/>
              </w:rPr>
              <w:t xml:space="preserve">Chronic pancreatitis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Pr/>
            </w:pPr>
            <w:r>
              <w:rPr>
                <w:b/>
                <w:sz w:val="20"/>
              </w:rPr>
              <w:t xml:space="preserve">What is it?</w:t>
            </w:r>
            <w:r>
              <w:rPr>
                <w:sz w:val="20"/>
              </w:rPr>
              <w:t xml:space="preserve"> Frequent intermittent damage to the pancreas causes scar tissue to form, and the pancreas can no longer produce digestive enzymes, insulin or glucagon. </w:t>
            </w:r>
            <w:r/>
          </w:p>
        </w:tc>
        <w:tc>
          <w:tcPr>
            <w:tcBorders>
              <w:top w:val="single" w:color="000000" w:sz="4" w:space="0"/>
              <w:left w:val="single" w:color="000000" w:sz="4" w:space="0"/>
              <w:bottom w:val="single" w:color="000000" w:sz="4" w:space="0"/>
              <w:right w:val="single" w:color="000000" w:sz="4" w:space="0"/>
            </w:tcBorders>
            <w:tcW w:w="3403" w:type="dxa"/>
            <w:textDirection w:val="lrTb"/>
            <w:noWrap w:val="false"/>
          </w:tcPr>
          <w:p>
            <w:pPr>
              <w:pBdr/>
              <w:spacing/>
              <w:ind w:left="2"/>
              <w:rPr/>
            </w:pPr>
            <w:r>
              <w:rPr>
                <w:b/>
                <w:sz w:val="20"/>
              </w:rPr>
              <w:t xml:space="preserve">Symptoms/Complications: </w:t>
            </w:r>
            <w:r>
              <w:rPr>
                <w:sz w:val="20"/>
              </w:rPr>
              <w:t xml:space="preserve">Pain, malabsorption causing  and weight loss, and diabetes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Pr/>
            </w:pPr>
            <w:r>
              <w:rPr>
                <w:b/>
                <w:sz w:val="20"/>
              </w:rPr>
              <w:t xml:space="preserve">Radiographic indications:</w:t>
            </w:r>
            <w:r>
              <w:rPr>
                <w:sz w:val="20"/>
              </w:rPr>
              <w:t xml:space="preserve"> Definitive indication is the presence of calcifications in the pancreas. Alcohol consumption must end. Diet should be reduced in fat and protein. Pancreatic enzyme supplements and pain medications can be taken until pancreas heals </w:t>
            </w:r>
            <w:r/>
          </w:p>
        </w:tc>
        <w:tc>
          <w:tcPr>
            <w:tcBorders>
              <w:top w:val="single" w:color="000000" w:sz="4" w:space="0"/>
              <w:left w:val="single" w:color="000000" w:sz="4" w:space="0"/>
              <w:bottom w:val="single" w:color="000000" w:sz="4" w:space="0"/>
              <w:right w:val="single" w:color="000000" w:sz="4" w:space="0"/>
            </w:tcBorders>
            <w:tcW w:w="3029" w:type="dxa"/>
            <w:textDirection w:val="lrTb"/>
            <w:noWrap w:val="false"/>
          </w:tcPr>
          <w:p>
            <w:pPr>
              <w:pBdr/>
              <w:spacing/>
              <w:ind w:left="2"/>
              <w:rPr/>
            </w:pPr>
            <w:r>
              <w:rPr>
                <w:b/>
                <w:sz w:val="20"/>
              </w:rPr>
              <w:t xml:space="preserve">Eisenberg 5-103 </w:t>
            </w:r>
            <w:r/>
          </w:p>
        </w:tc>
      </w:tr>
      <w:tr>
        <w:trPr>
          <w:trHeight w:val="253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Bdr/>
              <w:spacing/>
              <w:ind/>
              <w:rPr/>
            </w:pPr>
            <w:r>
              <w:rPr>
                <w:b/>
                <w:sz w:val="20"/>
              </w:rPr>
              <w:t xml:space="preserve">Pancreatic carcinoma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Pr/>
            </w:pPr>
            <w:r>
              <w:rPr>
                <w:b/>
                <w:sz w:val="20"/>
              </w:rPr>
              <w:t xml:space="preserve">What is It? </w:t>
            </w:r>
            <w:r/>
          </w:p>
          <w:p>
            <w:pPr>
              <w:pBdr/>
              <w:spacing w:after="2" w:line="239" w:lineRule="auto"/>
              <w:ind/>
              <w:rPr/>
            </w:pPr>
            <w:r>
              <w:rPr>
                <w:sz w:val="20"/>
              </w:rPr>
              <w:t xml:space="preserve">Most commonly an adenocarcinoma, which is often detected too late. </w:t>
            </w:r>
            <w:r/>
          </w:p>
          <w:p>
            <w:pPr>
              <w:pBdr/>
              <w:spacing/>
              <w:ind/>
              <w:rPr/>
            </w:pPr>
            <w:r>
              <w:rPr>
                <w:sz w:val="20"/>
              </w:rPr>
              <w:t xml:space="preserve">Prognosis is extremely poor.  </w:t>
            </w:r>
            <w:r/>
          </w:p>
        </w:tc>
        <w:tc>
          <w:tcPr>
            <w:tcBorders>
              <w:top w:val="single" w:color="000000" w:sz="4" w:space="0"/>
              <w:left w:val="single" w:color="000000" w:sz="4" w:space="0"/>
              <w:bottom w:val="single" w:color="000000" w:sz="4" w:space="0"/>
              <w:right w:val="single" w:color="000000" w:sz="4" w:space="0"/>
            </w:tcBorders>
            <w:tcW w:w="3403" w:type="dxa"/>
            <w:textDirection w:val="lrTb"/>
            <w:noWrap w:val="false"/>
          </w:tcPr>
          <w:p>
            <w:pPr>
              <w:pBdr/>
              <w:spacing/>
              <w:ind w:left="2"/>
              <w:rPr/>
            </w:pPr>
            <w:r>
              <w:rPr>
                <w:b/>
                <w:sz w:val="20"/>
              </w:rPr>
              <w:t xml:space="preserve">Symptoms/Complications : </w:t>
            </w:r>
            <w:r/>
          </w:p>
          <w:p>
            <w:pPr>
              <w:pBdr/>
              <w:spacing/>
              <w:ind w:left="2"/>
              <w:rPr/>
            </w:pPr>
            <w:r>
              <w:rPr>
                <w:sz w:val="20"/>
              </w:rPr>
              <w:t xml:space="preserve">Pain is a common symptom as well as weight loss, jaundice, fatigue, nausea, vomiting and diabetes. Risk factors include smoking, alcoholism, chronic pancreatitis, diabetes mellitus, and family history of adenocarcinoma. </w:t>
            </w:r>
            <w:r/>
          </w:p>
        </w:tc>
        <w:tc>
          <w:tcPr>
            <w:tcBorders>
              <w:top w:val="single" w:color="000000" w:sz="4" w:space="0"/>
              <w:left w:val="single" w:color="000000" w:sz="4" w:space="0"/>
              <w:bottom w:val="single" w:color="000000" w:sz="4" w:space="0"/>
              <w:right w:val="single" w:color="000000" w:sz="4" w:space="0"/>
            </w:tcBorders>
            <w:tcW w:w="3401" w:type="dxa"/>
            <w:textDirection w:val="lrTb"/>
            <w:noWrap w:val="false"/>
          </w:tcPr>
          <w:p>
            <w:pPr>
              <w:pBdr/>
              <w:spacing/>
              <w:ind/>
              <w:rPr/>
            </w:pPr>
            <w:r>
              <w:rPr>
                <w:b/>
                <w:sz w:val="20"/>
              </w:rPr>
              <w:t xml:space="preserve">Radiographic Indications</w:t>
            </w:r>
            <w:r>
              <w:rPr>
                <w:sz w:val="20"/>
              </w:rPr>
              <w:t xml:space="preserve"> </w:t>
            </w:r>
            <w:r>
              <w:rPr>
                <w:b/>
                <w:sz w:val="20"/>
              </w:rPr>
              <w:t xml:space="preserve">: </w:t>
            </w:r>
            <w:r/>
          </w:p>
          <w:p>
            <w:pPr>
              <w:pBdr/>
              <w:spacing/>
              <w:ind w:right="5"/>
              <w:rPr/>
            </w:pPr>
            <w:r>
              <w:rPr>
                <w:sz w:val="20"/>
              </w:rPr>
              <w:t xml:space="preserve">CT is modality of choice.  If diagn</w:t>
            </w:r>
            <w:r>
              <w:rPr>
                <w:sz w:val="20"/>
              </w:rPr>
              <w:t xml:space="preserve">osis is early on, the 5 year survival rate is 2%, but most patients are diagnosed after the disease has metastasized and will survive 12-24 months.  Total pancreatectomy removes the pancreas, duodenum, CBD, gallbladder, spleen and surrounding lymph nodes. </w:t>
            </w:r>
            <w:r/>
          </w:p>
        </w:tc>
        <w:tc>
          <w:tcPr>
            <w:tcBorders>
              <w:top w:val="single" w:color="000000" w:sz="4" w:space="0"/>
              <w:left w:val="single" w:color="000000" w:sz="4" w:space="0"/>
              <w:bottom w:val="single" w:color="000000" w:sz="4" w:space="0"/>
              <w:right w:val="single" w:color="000000" w:sz="4" w:space="0"/>
            </w:tcBorders>
            <w:tcW w:w="3029" w:type="dxa"/>
            <w:textDirection w:val="lrTb"/>
            <w:noWrap w:val="false"/>
          </w:tcPr>
          <w:p>
            <w:pPr>
              <w:pBdr/>
              <w:spacing/>
              <w:ind w:left="2"/>
              <w:rPr/>
            </w:pPr>
            <w:r>
              <w:rPr>
                <w:sz w:val="20"/>
              </w:rPr>
              <w:t xml:space="preserve"> No significant image </w:t>
            </w:r>
            <w:r/>
          </w:p>
        </w:tc>
      </w:tr>
    </w:tbl>
    <w:p>
      <w:pPr>
        <w:pBdr/>
        <w:spacing/>
        <w:ind/>
        <w:rPr/>
      </w:pPr>
      <w:r/>
      <w:r/>
    </w:p>
    <w:sectPr>
      <w:headerReference w:type="default" r:id="rId8"/>
      <w:footnotePr/>
      <w:endnotePr/>
      <w:type w:val="nextPage"/>
      <w:pgSz w:h="12240" w:orient="landscape" w:w="15840"/>
      <w:pgMar w:top="725" w:right="1440" w:bottom="1099"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Demi">
    <w:panose1 w:val="020B0603030804020204"/>
  </w:font>
  <w:font w:name="Calibri">
    <w:panose1 w:val="020F05020202040302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5"/>
      <w:pBdr/>
      <w:spacing/>
      <w:ind/>
      <w:rPr/>
    </w:p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671874"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4"/>
        <w:szCs w:val="24"/>
        <w:lang w:val="en-CA" w:eastAsia="en-CA" w:bidi="ar-SA"/>
        <w14:ligatures w14:val="standardContextual"/>
      </w:rPr>
    </w:rPrDefault>
    <w:pPrDefault>
      <w:pPr>
        <w:pBdr/>
        <w:spacing w:after="160" w:afterAutospacing="0" w:before="0" w:beforeAutospacing="0" w:line="278"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66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66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66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66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66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66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66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66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66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66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66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66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66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66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66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66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66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66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66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66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66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66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66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66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66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66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66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66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66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19739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66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66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196c24"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66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66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66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6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6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c0e4f5" w:themeFill="accent1" w:themeFillTint="34"/>
    </w:tblPr>
    <w:tcPr>
      <w:tcBorders/>
    </w:tcPr>
    <w:tblStylePr w:type="band1Horz">
      <w:pPr>
        <w:pBdr/>
        <w:spacing/>
        <w:ind/>
      </w:pPr>
      <w:tblPr>
        <w:tblBorders/>
      </w:tblPr>
      <w:tcPr>
        <w:shd w:val="clear" w:color="ffffff" w:themeColor="accent1" w:themeTint="75" w:fill="71c3e8" w:themeFill="accent1" w:themeFillTint="75"/>
        <w:tcBorders/>
      </w:tcPr>
    </w:tblStylePr>
    <w:tblStylePr w:type="band1Vert">
      <w:pPr>
        <w:pBdr/>
        <w:spacing/>
        <w:ind/>
      </w:pPr>
      <w:tblPr>
        <w:tblBorders/>
      </w:tblPr>
      <w:tcPr>
        <w:shd w:val="clear" w:color="ffffff" w:themeColor="accent1" w:themeTint="75" w:fill="71c3e8"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156082" w:themeFill="accent1"/>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rFonts w:ascii="Arial" w:hAnsi="Arial"/>
        <w:b/>
        <w:color w:val="ffffff"/>
        <w:sz w:val="22"/>
      </w:rPr>
      <w:pPr>
        <w:pBdr/>
        <w:spacing/>
        <w:ind/>
      </w:pPr>
      <w:tblPr>
        <w:tblBorders/>
      </w:tblPr>
      <w:tcPr>
        <w:shd w:val="clear" w:color="ffffff" w:themeColor="accent1" w:fill="156082" w:themeFill="accent1"/>
        <w:tcBorders/>
      </w:tcPr>
    </w:tblStylePr>
    <w:tblStylePr w:type="lastRow">
      <w:rPr>
        <w:rFonts w:ascii="Arial" w:hAnsi="Arial"/>
        <w:b/>
        <w:color w:val="ffffff"/>
        <w:sz w:val="22"/>
      </w:rPr>
      <w:pPr>
        <w:pBdr/>
        <w:spacing/>
        <w:ind/>
      </w:pPr>
      <w:tblPr>
        <w:tblBorders/>
      </w:tblPr>
      <w:tcPr>
        <w:shd w:val="clear" w:color="ffffff" w:themeColor="accent1" w:fill="156082"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6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3d7" w:themeFill="accent2" w:themeFillTint="32"/>
    </w:tblPr>
    <w:tcPr>
      <w:tcBorders/>
    </w:tcPr>
    <w:tblStylePr w:type="band1Horz">
      <w:pPr>
        <w:pBdr/>
        <w:spacing/>
        <w:ind/>
      </w:pPr>
      <w:tblPr>
        <w:tblBorders/>
      </w:tblPr>
      <w:tcPr>
        <w:shd w:val="clear" w:color="ffffff" w:themeColor="accent2" w:themeTint="75" w:fill="f5bea1" w:themeFill="accent2" w:themeFillTint="75"/>
        <w:tcBorders/>
      </w:tcPr>
    </w:tblStylePr>
    <w:tblStylePr w:type="band1Vert">
      <w:pPr>
        <w:pBdr/>
        <w:spacing/>
        <w:ind/>
      </w:pPr>
      <w:tblPr>
        <w:tblBorders/>
      </w:tblPr>
      <w:tcPr>
        <w:shd w:val="clear" w:color="ffffff" w:themeColor="accent2" w:themeTint="75" w:fill="f5bea1"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97132" w:themeFill="accent2"/>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rFonts w:ascii="Arial" w:hAnsi="Arial"/>
        <w:b/>
        <w:color w:val="ffffff"/>
        <w:sz w:val="22"/>
      </w:rPr>
      <w:pPr>
        <w:pBdr/>
        <w:spacing/>
        <w:ind/>
      </w:pPr>
      <w:tblPr>
        <w:tblBorders/>
      </w:tblPr>
      <w:tcPr>
        <w:shd w:val="clear" w:color="ffffff" w:themeColor="accent2" w:fill="e97132" w:themeFill="accent2"/>
        <w:tcBorders/>
      </w:tcPr>
    </w:tblStylePr>
    <w:tblStylePr w:type="lastRow">
      <w:rPr>
        <w:rFonts w:ascii="Arial" w:hAnsi="Arial"/>
        <w:b/>
        <w:color w:val="ffffff"/>
        <w:sz w:val="22"/>
      </w:rPr>
      <w:pPr>
        <w:pBdr/>
        <w:spacing/>
        <w:ind/>
      </w:pPr>
      <w:tblPr>
        <w:tblBorders/>
      </w:tblPr>
      <w:tcPr>
        <w:shd w:val="clear" w:color="ffffff" w:themeColor="accent2" w:fill="e97132"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6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c1f0c7" w:themeFill="accent3" w:themeFillTint="34"/>
    </w:tblPr>
    <w:tcPr>
      <w:tcBorders/>
    </w:tcPr>
    <w:tblStylePr w:type="band1Horz">
      <w:pPr>
        <w:pBdr/>
        <w:spacing/>
        <w:ind/>
      </w:pPr>
      <w:tblPr>
        <w:tblBorders/>
      </w:tblPr>
      <w:tcPr>
        <w:shd w:val="clear" w:color="ffffff" w:themeColor="accent3" w:themeTint="75" w:fill="72de81" w:themeFill="accent3" w:themeFillTint="75"/>
        <w:tcBorders/>
      </w:tcPr>
    </w:tblStylePr>
    <w:tblStylePr w:type="band1Vert">
      <w:pPr>
        <w:pBdr/>
        <w:spacing/>
        <w:ind/>
      </w:pPr>
      <w:tblPr>
        <w:tblBorders/>
      </w:tblPr>
      <w:tcPr>
        <w:shd w:val="clear" w:color="ffffff" w:themeColor="accent3" w:themeTint="75" w:fill="72de81"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196b24" w:themeFill="accent3"/>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rFonts w:ascii="Arial" w:hAnsi="Arial"/>
        <w:b/>
        <w:color w:val="ffffff"/>
        <w:sz w:val="22"/>
      </w:rPr>
      <w:pPr>
        <w:pBdr/>
        <w:spacing/>
        <w:ind/>
      </w:pPr>
      <w:tblPr>
        <w:tblBorders/>
      </w:tblPr>
      <w:tcPr>
        <w:shd w:val="clear" w:color="ffffff" w:themeColor="accent3" w:fill="196b24" w:themeFill="accent3"/>
        <w:tcBorders/>
      </w:tcPr>
    </w:tblStylePr>
    <w:tblStylePr w:type="lastRow">
      <w:rPr>
        <w:rFonts w:ascii="Arial" w:hAnsi="Arial"/>
        <w:b/>
        <w:color w:val="ffffff"/>
        <w:sz w:val="22"/>
      </w:rPr>
      <w:pPr>
        <w:pBdr/>
        <w:spacing/>
        <w:ind/>
      </w:pPr>
      <w:tblPr>
        <w:tblBorders/>
      </w:tblPr>
      <w:tcPr>
        <w:shd w:val="clear" w:color="ffffff" w:themeColor="accent3" w:fill="196b24"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6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9edfb" w:themeFill="accent4" w:themeFillTint="34"/>
    </w:tblPr>
    <w:tcPr>
      <w:tcBorders/>
    </w:tcPr>
    <w:tblStylePr w:type="band1Horz">
      <w:pPr>
        <w:pBdr/>
        <w:spacing/>
        <w:ind/>
      </w:pPr>
      <w:tblPr>
        <w:tblBorders/>
      </w:tblPr>
      <w:tcPr>
        <w:shd w:val="clear" w:color="ffffff" w:themeColor="accent4" w:themeTint="75" w:fill="86d7f6" w:themeFill="accent4" w:themeFillTint="75"/>
        <w:tcBorders/>
      </w:tcPr>
    </w:tblStylePr>
    <w:tblStylePr w:type="band1Vert">
      <w:pPr>
        <w:pBdr/>
        <w:spacing/>
        <w:ind/>
      </w:pPr>
      <w:tblPr>
        <w:tblBorders/>
      </w:tblPr>
      <w:tcPr>
        <w:shd w:val="clear" w:color="ffffff" w:themeColor="accent4" w:themeTint="75" w:fill="86d7f6"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0f9ed5" w:themeFill="accent4"/>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rFonts w:ascii="Arial" w:hAnsi="Arial"/>
        <w:b/>
        <w:color w:val="ffffff"/>
        <w:sz w:val="22"/>
      </w:rPr>
      <w:pPr>
        <w:pBdr/>
        <w:spacing/>
        <w:ind/>
      </w:pPr>
      <w:tblPr>
        <w:tblBorders/>
      </w:tblPr>
      <w:tcPr>
        <w:shd w:val="clear" w:color="ffffff" w:themeColor="accent4" w:fill="0f9ed5" w:themeFill="accent4"/>
        <w:tcBorders/>
      </w:tcPr>
    </w:tblStylePr>
    <w:tblStylePr w:type="lastRow">
      <w:rPr>
        <w:rFonts w:ascii="Arial" w:hAnsi="Arial"/>
        <w:b/>
        <w:color w:val="ffffff"/>
        <w:sz w:val="22"/>
      </w:rPr>
      <w:pPr>
        <w:pBdr/>
        <w:spacing/>
        <w:ind/>
      </w:pPr>
      <w:tblPr>
        <w:tblBorders/>
      </w:tblPr>
      <w:tcPr>
        <w:shd w:val="clear" w:color="ffffff" w:themeColor="accent4" w:fill="0f9ed5"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6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2ceee" w:themeFill="accent5" w:themeFillTint="34"/>
    </w:tblPr>
    <w:tcPr>
      <w:tcBorders/>
    </w:tcPr>
    <w:tblStylePr w:type="band1Horz">
      <w:pPr>
        <w:pBdr/>
        <w:spacing/>
        <w:ind/>
      </w:pPr>
      <w:tblPr>
        <w:tblBorders/>
      </w:tblPr>
      <w:tcPr>
        <w:shd w:val="clear" w:color="ffffff" w:themeColor="accent5" w:themeTint="75" w:fill="e190d8" w:themeFill="accent5" w:themeFillTint="75"/>
        <w:tcBorders/>
      </w:tcPr>
    </w:tblStylePr>
    <w:tblStylePr w:type="band1Vert">
      <w:pPr>
        <w:pBdr/>
        <w:spacing/>
        <w:ind/>
      </w:pPr>
      <w:tblPr>
        <w:tblBorders/>
      </w:tblPr>
      <w:tcPr>
        <w:shd w:val="clear" w:color="ffffff" w:themeColor="accent5" w:themeTint="75" w:fill="e190d8"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a02b93" w:themeFill="accent5"/>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rFonts w:ascii="Arial" w:hAnsi="Arial"/>
        <w:b/>
        <w:color w:val="ffffff"/>
        <w:sz w:val="22"/>
      </w:rPr>
      <w:pPr>
        <w:pBdr/>
        <w:spacing/>
        <w:ind/>
      </w:pPr>
      <w:tblPr>
        <w:tblBorders/>
      </w:tblPr>
      <w:tcPr>
        <w:shd w:val="clear" w:color="ffffff" w:themeColor="accent5" w:fill="a02b93" w:themeFill="accent5"/>
        <w:tcBorders/>
      </w:tcPr>
    </w:tblStylePr>
    <w:tblStylePr w:type="lastRow">
      <w:rPr>
        <w:rFonts w:ascii="Arial" w:hAnsi="Arial"/>
        <w:b/>
        <w:color w:val="ffffff"/>
        <w:sz w:val="22"/>
      </w:rPr>
      <w:pPr>
        <w:pBdr/>
        <w:spacing/>
        <w:ind/>
      </w:pPr>
      <w:tblPr>
        <w:tblBorders/>
      </w:tblPr>
      <w:tcPr>
        <w:shd w:val="clear" w:color="ffffff" w:themeColor="accent5" w:fill="a02b93"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66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2d0" w:themeFill="accent6" w:themeFillTint="34"/>
    </w:tblPr>
    <w:tcPr>
      <w:tcBorders/>
    </w:tcPr>
    <w:tblStylePr w:type="band1Horz">
      <w:pPr>
        <w:pBdr/>
        <w:spacing/>
        <w:ind/>
      </w:pPr>
      <w:tblPr>
        <w:tblBorders/>
      </w:tblPr>
      <w:tcPr>
        <w:shd w:val="clear" w:color="ffffff" w:themeColor="accent6" w:themeTint="75" w:fill="a9e294" w:themeFill="accent6" w:themeFillTint="75"/>
        <w:tcBorders/>
      </w:tcPr>
    </w:tblStylePr>
    <w:tblStylePr w:type="band1Vert">
      <w:pPr>
        <w:pBdr/>
        <w:spacing/>
        <w:ind/>
      </w:pPr>
      <w:tblPr>
        <w:tblBorders/>
      </w:tblPr>
      <w:tcPr>
        <w:shd w:val="clear" w:color="ffffff" w:themeColor="accent6" w:themeTint="75" w:fill="a9e294"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4ea72e" w:themeFill="accent6"/>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rFonts w:ascii="Arial" w:hAnsi="Arial"/>
        <w:b/>
        <w:color w:val="ffffff"/>
        <w:sz w:val="22"/>
      </w:rPr>
      <w:pPr>
        <w:pBdr/>
        <w:spacing/>
        <w:ind/>
      </w:pPr>
      <w:tblPr>
        <w:tblBorders/>
      </w:tblPr>
      <w:tcPr>
        <w:shd w:val="clear" w:color="ffffff" w:themeColor="accent6" w:fill="4ea72e" w:themeFill="accent6"/>
        <w:tcBorders/>
      </w:tcPr>
    </w:tblStylePr>
    <w:tblStylePr w:type="lastRow">
      <w:rPr>
        <w:rFonts w:ascii="Arial" w:hAnsi="Arial"/>
        <w:b/>
        <w:color w:val="ffffff"/>
        <w:sz w:val="22"/>
      </w:rPr>
      <w:pPr>
        <w:pBdr/>
        <w:spacing/>
        <w:ind/>
      </w:pPr>
      <w:tblPr>
        <w:tblBorders/>
      </w:tblPr>
      <w:tcPr>
        <w:shd w:val="clear" w:color="ffffff" w:themeColor="accent6" w:fill="4ea72e"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66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66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1b7aa6" w:themeColor="accent1" w:themeTint="80" w:themeShade="95"/>
      </w:rPr>
      <w:pPr>
        <w:pBdr/>
        <w:spacing/>
        <w:ind/>
      </w:pPr>
      <w:tblPr>
        <w:tblBorders/>
      </w:tblPr>
      <w:tcPr>
        <w:tcBorders/>
      </w:tcPr>
    </w:tblStylePr>
    <w:tblStylePr w:type="firstRow">
      <w:rPr>
        <w:b/>
        <w:color w:val="1b7aa6" w:themeColor="accent1" w:themeTint="80" w:themeShade="95"/>
      </w:rPr>
      <w:pPr>
        <w:pBdr/>
        <w:spacing/>
        <w:ind/>
      </w:pPr>
      <w:tblPr>
        <w:tblBorders/>
      </w:tblPr>
      <w:tcPr>
        <w:tcBorders>
          <w:bottom w:val="single" w:color="000000" w:themeColor="accent1" w:themeTint="80" w:sz="12" w:space="0"/>
        </w:tcBorders>
      </w:tcPr>
    </w:tblStylePr>
    <w:tblStylePr w:type="lastCol">
      <w:rPr>
        <w:b/>
        <w:color w:val="1b7aa6" w:themeColor="accent1" w:themeTint="80" w:themeShade="95"/>
      </w:rPr>
      <w:pPr>
        <w:pBdr/>
        <w:spacing/>
        <w:ind/>
      </w:pPr>
      <w:tblPr>
        <w:tblBorders/>
      </w:tblPr>
      <w:tcPr>
        <w:tcBorders/>
      </w:tcPr>
    </w:tblStylePr>
    <w:tblStylePr w:type="lastRow">
      <w:rPr>
        <w:b/>
        <w:color w:val="1b7aa6"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66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12"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66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f3f15" w:themeColor="accent3" w:themeTint="FE" w:themeShade="95"/>
      </w:rPr>
      <w:pPr>
        <w:pBdr/>
        <w:spacing/>
        <w:ind/>
      </w:pPr>
      <w:tblPr>
        <w:tblBorders/>
      </w:tblPr>
      <w:tcPr>
        <w:tcBorders/>
      </w:tcPr>
    </w:tblStylePr>
    <w:tblStylePr w:type="firstRow">
      <w:rPr>
        <w:b/>
        <w:color w:val="0f3f15" w:themeColor="accent3" w:themeTint="FE" w:themeShade="95"/>
      </w:rPr>
      <w:pPr>
        <w:pBdr/>
        <w:spacing/>
        <w:ind/>
      </w:pPr>
      <w:tblPr>
        <w:tblBorders/>
      </w:tblPr>
      <w:tcPr>
        <w:tcBorders>
          <w:bottom w:val="single" w:color="000000" w:themeColor="accent3" w:themeTint="FE" w:sz="12" w:space="0"/>
        </w:tcBorders>
      </w:tcPr>
    </w:tblStylePr>
    <w:tblStylePr w:type="lastCol">
      <w:rPr>
        <w:b/>
        <w:color w:val="0f3f15" w:themeColor="accent3" w:themeTint="FE" w:themeShade="95"/>
      </w:rPr>
      <w:pPr>
        <w:pBdr/>
        <w:spacing/>
        <w:ind/>
      </w:pPr>
      <w:tblPr>
        <w:tblBorders/>
      </w:tblPr>
      <w:tcPr>
        <w:tcBorders/>
      </w:tcPr>
    </w:tblStylePr>
    <w:tblStylePr w:type="lastRow">
      <w:rPr>
        <w:b/>
        <w:color w:val="0f3f1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66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12"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66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5"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66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6"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66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66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1b7aa6"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1b7aa6"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1b7aa6"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1b7aa6"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66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65215"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66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0f3f15"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0f3f1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f3f15"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0f3f15"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66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a"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66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5d1956"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5d1956"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1956"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5d1956"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5d1956"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5d1956"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66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2e621b" w:themeColor="accent6"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2e621b"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e621b"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2e621b"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2e621b"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2e621b"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6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6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6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6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6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6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66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66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66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66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66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66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66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66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66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66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66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66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48d45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66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66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d86dc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66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8fd974"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66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66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66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66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66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66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66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66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66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cPr>
      <w:tcBorders/>
    </w:tcPr>
    <w:tblStylePr w:type="band1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156082"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156082"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66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ab86" w:themeFill="accent2" w:themeFillTint="97"/>
    </w:tblPr>
    <w:tcPr>
      <w:tcBorders/>
    </w:tcPr>
    <w:tblStylePr w:type="band1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2ab8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2ab8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66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8d45b" w:themeFill="accent3" w:themeFillTint="98"/>
    </w:tblPr>
    <w:tcPr>
      <w:tcBorders/>
    </w:tcPr>
    <w:tblStylePr w:type="band1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48d45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48d45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66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4" w:themeFill="accent4" w:themeFillTint="9A"/>
    </w:tblPr>
    <w:tcPr>
      <w:tcBorders/>
    </w:tcPr>
    <w:tblStylePr w:type="band1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60cbf4"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60cbf4"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66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86dcc" w:themeFill="accent5" w:themeFillTint="9A"/>
    </w:tblPr>
    <w:tcPr>
      <w:tcBorders/>
    </w:tcPr>
    <w:tblStylePr w:type="band1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d86dc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d86dc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66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8fd974" w:themeFill="accent6" w:themeFillTint="98"/>
    </w:tblPr>
    <w:tcPr>
      <w:tcBorders/>
    </w:tcPr>
    <w:tblStylePr w:type="band1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8fd974"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8fd974"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66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66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c384c" w:themeColor="accent1" w:themeShade="95"/>
      </w:rPr>
      <w:pPr>
        <w:pBdr/>
        <w:spacing/>
        <w:ind/>
      </w:pPr>
      <w:tblPr>
        <w:tblBorders/>
      </w:tblPr>
      <w:tcPr>
        <w:tcBorders/>
      </w:tcPr>
    </w:tblStylePr>
    <w:tblStylePr w:type="firstRow">
      <w:rPr>
        <w:b/>
        <w:color w:val="0c384c" w:themeColor="accent1" w:themeShade="95"/>
      </w:rPr>
      <w:pPr>
        <w:pBdr/>
        <w:spacing/>
        <w:ind/>
      </w:pPr>
      <w:tblPr>
        <w:tblBorders/>
      </w:tblPr>
      <w:tcPr>
        <w:tcBorders>
          <w:bottom w:val="single" w:color="000000" w:themeColor="accent1" w:sz="4" w:space="0"/>
        </w:tcBorders>
      </w:tcPr>
    </w:tblStylePr>
    <w:tblStylePr w:type="lastCol">
      <w:rPr>
        <w:b/>
        <w:color w:val="0c384c" w:themeColor="accent1" w:themeShade="95"/>
      </w:rPr>
      <w:pPr>
        <w:pBdr/>
        <w:spacing/>
        <w:ind/>
      </w:pPr>
      <w:tblPr>
        <w:tblBorders/>
      </w:tblPr>
      <w:tcPr>
        <w:tcBorders/>
      </w:tcPr>
    </w:tblStylePr>
    <w:tblStylePr w:type="lastRow">
      <w:rPr>
        <w:b/>
        <w:color w:val="0c384c"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66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4"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66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0862e" w:themeColor="accent3" w:themeTint="98" w:themeShade="95"/>
      </w:rPr>
      <w:pPr>
        <w:pBdr/>
        <w:spacing/>
        <w:ind/>
      </w:pPr>
      <w:tblPr>
        <w:tblBorders/>
      </w:tblPr>
      <w:tcPr>
        <w:tcBorders/>
      </w:tcPr>
    </w:tblStylePr>
    <w:tblStylePr w:type="firstRow">
      <w:rPr>
        <w:b/>
        <w:color w:val="20862e" w:themeColor="accent3" w:themeTint="98" w:themeShade="95"/>
      </w:rPr>
      <w:pPr>
        <w:pBdr/>
        <w:spacing/>
        <w:ind/>
      </w:pPr>
      <w:tblPr>
        <w:tblBorders/>
      </w:tblPr>
      <w:tcPr>
        <w:tcBorders>
          <w:bottom w:val="single" w:color="000000" w:themeColor="accent3" w:themeTint="98" w:sz="4" w:space="0"/>
        </w:tcBorders>
      </w:tcPr>
    </w:tblStylePr>
    <w:tblStylePr w:type="lastCol">
      <w:rPr>
        <w:b/>
        <w:color w:val="20862e" w:themeColor="accent3" w:themeTint="98" w:themeShade="95"/>
      </w:rPr>
      <w:pPr>
        <w:pBdr/>
        <w:spacing/>
        <w:ind/>
      </w:pPr>
      <w:tblPr>
        <w:tblBorders/>
      </w:tblPr>
      <w:tcPr>
        <w:tcBorders/>
      </w:tcPr>
    </w:tblStylePr>
    <w:tblStylePr w:type="lastRow">
      <w:rPr>
        <w:b/>
        <w:color w:val="20862e"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66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4"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66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6288a" w:themeColor="accent5" w:themeTint="9A" w:themeShade="95"/>
      </w:rPr>
      <w:pPr>
        <w:pBdr/>
        <w:spacing/>
        <w:ind/>
      </w:pPr>
      <w:tblPr>
        <w:tblBorders/>
      </w:tblPr>
      <w:tcPr>
        <w:tcBorders/>
      </w:tcPr>
    </w:tblStylePr>
    <w:tblStylePr w:type="firstRow">
      <w:rPr>
        <w:b/>
        <w:color w:val="96288a" w:themeColor="accent5" w:themeTint="9A" w:themeShade="95"/>
      </w:rPr>
      <w:pPr>
        <w:pBdr/>
        <w:spacing/>
        <w:ind/>
      </w:pPr>
      <w:tblPr>
        <w:tblBorders/>
      </w:tblPr>
      <w:tcPr>
        <w:tcBorders>
          <w:bottom w:val="single" w:color="000000" w:themeColor="accent5" w:themeTint="9A" w:sz="4" w:space="0"/>
        </w:tcBorders>
      </w:tcPr>
    </w:tblStylePr>
    <w:tblStylePr w:type="lastCol">
      <w:rPr>
        <w:b/>
        <w:color w:val="96288a" w:themeColor="accent5" w:themeTint="9A" w:themeShade="95"/>
      </w:rPr>
      <w:pPr>
        <w:pBdr/>
        <w:spacing/>
        <w:ind/>
      </w:pPr>
      <w:tblPr>
        <w:tblBorders/>
      </w:tblPr>
      <w:tcPr>
        <w:tcBorders/>
      </w:tcPr>
    </w:tblStylePr>
    <w:tblStylePr w:type="lastRow">
      <w:rPr>
        <w:b/>
        <w:color w:val="96288a"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66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7992a" w:themeColor="accent6" w:themeTint="98" w:themeShade="95"/>
      </w:rPr>
      <w:pPr>
        <w:pBdr/>
        <w:spacing/>
        <w:ind/>
      </w:pPr>
      <w:tblPr>
        <w:tblBorders/>
      </w:tblPr>
      <w:tcPr>
        <w:tcBorders/>
      </w:tcPr>
    </w:tblStylePr>
    <w:tblStylePr w:type="firstRow">
      <w:rPr>
        <w:b/>
        <w:color w:val="47992a" w:themeColor="accent6" w:themeTint="98" w:themeShade="95"/>
      </w:rPr>
      <w:pPr>
        <w:pBdr/>
        <w:spacing/>
        <w:ind/>
      </w:pPr>
      <w:tblPr>
        <w:tblBorders/>
      </w:tblPr>
      <w:tcPr>
        <w:tcBorders>
          <w:bottom w:val="single" w:color="000000" w:themeColor="accent6" w:themeTint="98" w:sz="4" w:space="0"/>
        </w:tcBorders>
      </w:tcPr>
    </w:tblStylePr>
    <w:tblStylePr w:type="lastCol">
      <w:rPr>
        <w:b/>
        <w:color w:val="47992a" w:themeColor="accent6" w:themeTint="98" w:themeShade="95"/>
      </w:rPr>
      <w:pPr>
        <w:pBdr/>
        <w:spacing/>
        <w:ind/>
      </w:pPr>
      <w:tblPr>
        <w:tblBorders/>
      </w:tblPr>
      <w:tcPr>
        <w:tcBorders/>
      </w:tcPr>
    </w:tblStylePr>
    <w:tblStylePr w:type="lastRow">
      <w:rPr>
        <w:b/>
        <w:color w:val="47992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66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66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0c384c"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0c384c"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c384c"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0c384c"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0c384c"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0c384c"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c384c" w:themeColor="accent1" w:themeShade="95"/>
        <w:sz w:val="22"/>
      </w:rPr>
      <w:pPr>
        <w:pBdr/>
        <w:spacing/>
        <w:ind/>
      </w:pPr>
      <w:tblPr>
        <w:tblBorders/>
      </w:tblPr>
      <w:tcPr>
        <w:tcBorders/>
      </w:tcPr>
    </w:tblStylePr>
  </w:style>
  <w:style w:type="table" w:styleId="111">
    <w:name w:val="List Table 7 Colorful - Accent 2"/>
    <w:basedOn w:val="66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65215"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65215" w:themeColor="accent2" w:themeTint="97" w:themeShade="95"/>
        <w:sz w:val="22"/>
      </w:rPr>
      <w:pPr>
        <w:pBdr/>
        <w:spacing/>
        <w:ind/>
      </w:pPr>
      <w:tblPr>
        <w:tblBorders/>
      </w:tblPr>
      <w:tcPr>
        <w:tcBorders/>
      </w:tcPr>
    </w:tblStylePr>
  </w:style>
  <w:style w:type="table" w:styleId="112">
    <w:name w:val="List Table 7 Colorful - Accent 3"/>
    <w:basedOn w:val="66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20862e"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20862e"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0862e"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20862e"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0862e" w:themeColor="accent3" w:themeTint="98" w:themeShade="95"/>
        <w:sz w:val="22"/>
      </w:rPr>
      <w:pPr>
        <w:pBdr/>
        <w:spacing/>
        <w:ind/>
      </w:pPr>
      <w:tblPr>
        <w:tblBorders/>
      </w:tblPr>
      <w:tcPr>
        <w:tcBorders/>
      </w:tcPr>
    </w:tblStylePr>
  </w:style>
  <w:style w:type="table" w:styleId="113">
    <w:name w:val="List Table 7 Colorful - Accent 4"/>
    <w:basedOn w:val="66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a"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d8aba" w:themeColor="accent4" w:themeTint="9A" w:themeShade="95"/>
        <w:sz w:val="22"/>
      </w:rPr>
      <w:pPr>
        <w:pBdr/>
        <w:spacing/>
        <w:ind/>
      </w:pPr>
      <w:tblPr>
        <w:tblBorders/>
      </w:tblPr>
      <w:tcPr>
        <w:tcBorders/>
      </w:tcPr>
    </w:tblStylePr>
  </w:style>
  <w:style w:type="table" w:styleId="114">
    <w:name w:val="List Table 7 Colorful - Accent 5"/>
    <w:basedOn w:val="66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96288a"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96288a"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6288a"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96288a"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6288a" w:themeColor="accent5" w:themeTint="9A" w:themeShade="95"/>
        <w:sz w:val="22"/>
      </w:rPr>
      <w:pPr>
        <w:pBdr/>
        <w:spacing/>
        <w:ind/>
      </w:pPr>
      <w:tblPr>
        <w:tblBorders/>
      </w:tblPr>
      <w:tcPr>
        <w:tcBorders/>
      </w:tcPr>
    </w:tblStylePr>
  </w:style>
  <w:style w:type="table" w:styleId="115">
    <w:name w:val="List Table 7 Colorful - Accent 6"/>
    <w:basedOn w:val="66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47992a"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7992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7992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47992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7992a" w:themeColor="accent6" w:themeTint="98" w:themeShade="95"/>
        <w:sz w:val="22"/>
      </w:rPr>
      <w:pPr>
        <w:pBdr/>
        <w:spacing/>
        <w:ind/>
      </w:pPr>
      <w:tblPr>
        <w:tblBorders/>
      </w:tblPr>
      <w:tcPr>
        <w:tcBorders/>
      </w:tcPr>
    </w:tblStylePr>
  </w:style>
  <w:style w:type="table" w:styleId="116">
    <w:name w:val="Lined - Accent"/>
    <w:basedOn w:val="6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6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6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6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6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6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66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66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66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66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66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66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66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66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66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66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66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66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66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66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66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8">
    <w:name w:val="Heading 1"/>
    <w:basedOn w:val="660"/>
    <w:next w:val="660"/>
    <w:link w:val="149"/>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39">
    <w:name w:val="Heading 2"/>
    <w:basedOn w:val="660"/>
    <w:next w:val="660"/>
    <w:link w:val="150"/>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0">
    <w:name w:val="Heading 3"/>
    <w:basedOn w:val="660"/>
    <w:next w:val="660"/>
    <w:link w:val="15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1">
    <w:name w:val="Heading 4"/>
    <w:basedOn w:val="660"/>
    <w:next w:val="660"/>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660"/>
    <w:next w:val="660"/>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660"/>
    <w:next w:val="660"/>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660"/>
    <w:next w:val="660"/>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660"/>
    <w:next w:val="660"/>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660"/>
    <w:next w:val="660"/>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9">
    <w:name w:val="Heading 1 Char"/>
    <w:basedOn w:val="661"/>
    <w:link w:val="138"/>
    <w:uiPriority w:val="9"/>
    <w:pPr>
      <w:pBdr/>
      <w:spacing/>
      <w:ind/>
    </w:pPr>
    <w:rPr>
      <w:rFonts w:ascii="Arial" w:hAnsi="Arial" w:eastAsia="Arial" w:cs="Arial"/>
      <w:color w:val="0f4761" w:themeColor="accent1" w:themeShade="BF"/>
      <w:sz w:val="40"/>
      <w:szCs w:val="40"/>
    </w:rPr>
  </w:style>
  <w:style w:type="character" w:styleId="150">
    <w:name w:val="Heading 2 Char"/>
    <w:basedOn w:val="661"/>
    <w:link w:val="139"/>
    <w:uiPriority w:val="9"/>
    <w:pPr>
      <w:pBdr/>
      <w:spacing/>
      <w:ind/>
    </w:pPr>
    <w:rPr>
      <w:rFonts w:ascii="Arial" w:hAnsi="Arial" w:eastAsia="Arial" w:cs="Arial"/>
      <w:color w:val="0f4761" w:themeColor="accent1" w:themeShade="BF"/>
      <w:sz w:val="32"/>
      <w:szCs w:val="32"/>
    </w:rPr>
  </w:style>
  <w:style w:type="character" w:styleId="151">
    <w:name w:val="Heading 3 Char"/>
    <w:basedOn w:val="661"/>
    <w:link w:val="140"/>
    <w:uiPriority w:val="9"/>
    <w:pPr>
      <w:pBdr/>
      <w:spacing/>
      <w:ind/>
    </w:pPr>
    <w:rPr>
      <w:rFonts w:ascii="Arial" w:hAnsi="Arial" w:eastAsia="Arial" w:cs="Arial"/>
      <w:color w:val="0f4761" w:themeColor="accent1" w:themeShade="BF"/>
      <w:sz w:val="28"/>
      <w:szCs w:val="28"/>
    </w:rPr>
  </w:style>
  <w:style w:type="character" w:styleId="152">
    <w:name w:val="Heading 4 Char"/>
    <w:basedOn w:val="661"/>
    <w:link w:val="141"/>
    <w:uiPriority w:val="9"/>
    <w:pPr>
      <w:pBdr/>
      <w:spacing/>
      <w:ind/>
    </w:pPr>
    <w:rPr>
      <w:rFonts w:ascii="Arial" w:hAnsi="Arial" w:eastAsia="Arial" w:cs="Arial"/>
      <w:i/>
      <w:iCs/>
      <w:color w:val="0f4761" w:themeColor="accent1" w:themeShade="BF"/>
    </w:rPr>
  </w:style>
  <w:style w:type="character" w:styleId="153">
    <w:name w:val="Heading 5 Char"/>
    <w:basedOn w:val="661"/>
    <w:link w:val="142"/>
    <w:uiPriority w:val="9"/>
    <w:pPr>
      <w:pBdr/>
      <w:spacing/>
      <w:ind/>
    </w:pPr>
    <w:rPr>
      <w:rFonts w:ascii="Arial" w:hAnsi="Arial" w:eastAsia="Arial" w:cs="Arial"/>
      <w:color w:val="0f4761" w:themeColor="accent1" w:themeShade="BF"/>
    </w:rPr>
  </w:style>
  <w:style w:type="character" w:styleId="154">
    <w:name w:val="Heading 6 Char"/>
    <w:basedOn w:val="661"/>
    <w:link w:val="143"/>
    <w:uiPriority w:val="9"/>
    <w:pPr>
      <w:pBdr/>
      <w:spacing/>
      <w:ind/>
    </w:pPr>
    <w:rPr>
      <w:rFonts w:ascii="Arial" w:hAnsi="Arial" w:eastAsia="Arial" w:cs="Arial"/>
      <w:i/>
      <w:iCs/>
      <w:color w:val="595959" w:themeColor="text1" w:themeTint="A6"/>
    </w:rPr>
  </w:style>
  <w:style w:type="character" w:styleId="155">
    <w:name w:val="Heading 7 Char"/>
    <w:basedOn w:val="661"/>
    <w:link w:val="144"/>
    <w:uiPriority w:val="9"/>
    <w:pPr>
      <w:pBdr/>
      <w:spacing/>
      <w:ind/>
    </w:pPr>
    <w:rPr>
      <w:rFonts w:ascii="Arial" w:hAnsi="Arial" w:eastAsia="Arial" w:cs="Arial"/>
      <w:color w:val="595959" w:themeColor="text1" w:themeTint="A6"/>
    </w:rPr>
  </w:style>
  <w:style w:type="character" w:styleId="156">
    <w:name w:val="Heading 8 Char"/>
    <w:basedOn w:val="661"/>
    <w:link w:val="145"/>
    <w:uiPriority w:val="9"/>
    <w:pPr>
      <w:pBdr/>
      <w:spacing/>
      <w:ind/>
    </w:pPr>
    <w:rPr>
      <w:rFonts w:ascii="Arial" w:hAnsi="Arial" w:eastAsia="Arial" w:cs="Arial"/>
      <w:i/>
      <w:iCs/>
      <w:color w:val="272727" w:themeColor="text1" w:themeTint="D8"/>
    </w:rPr>
  </w:style>
  <w:style w:type="character" w:styleId="157">
    <w:name w:val="Heading 9 Char"/>
    <w:basedOn w:val="661"/>
    <w:link w:val="146"/>
    <w:uiPriority w:val="9"/>
    <w:pPr>
      <w:pBdr/>
      <w:spacing/>
      <w:ind/>
    </w:pPr>
    <w:rPr>
      <w:rFonts w:ascii="Arial" w:hAnsi="Arial" w:eastAsia="Arial" w:cs="Arial"/>
      <w:i/>
      <w:iCs/>
      <w:color w:val="272727" w:themeColor="text1" w:themeTint="D8"/>
    </w:rPr>
  </w:style>
  <w:style w:type="paragraph" w:styleId="158">
    <w:name w:val="Title"/>
    <w:basedOn w:val="660"/>
    <w:next w:val="660"/>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661"/>
    <w:link w:val="158"/>
    <w:uiPriority w:val="10"/>
    <w:pPr>
      <w:pBdr/>
      <w:spacing/>
      <w:ind/>
    </w:pPr>
    <w:rPr>
      <w:rFonts w:ascii="Arial" w:hAnsi="Arial" w:eastAsia="Arial" w:cs="Arial"/>
      <w:spacing w:val="-10"/>
      <w:sz w:val="56"/>
      <w:szCs w:val="56"/>
    </w:rPr>
  </w:style>
  <w:style w:type="paragraph" w:styleId="160">
    <w:name w:val="Subtitle"/>
    <w:basedOn w:val="660"/>
    <w:next w:val="660"/>
    <w:link w:val="161"/>
    <w:uiPriority w:val="11"/>
    <w:qFormat/>
    <w:pPr>
      <w:numPr>
        <w:ilvl w:val="1"/>
      </w:numPr>
      <w:pBdr/>
      <w:spacing/>
      <w:ind/>
    </w:pPr>
    <w:rPr>
      <w:color w:val="595959" w:themeColor="text1" w:themeTint="A6"/>
      <w:spacing w:val="15"/>
      <w:sz w:val="28"/>
      <w:szCs w:val="28"/>
    </w:rPr>
  </w:style>
  <w:style w:type="character" w:styleId="161">
    <w:name w:val="Subtitle Char"/>
    <w:basedOn w:val="661"/>
    <w:link w:val="160"/>
    <w:uiPriority w:val="11"/>
    <w:pPr>
      <w:pBdr/>
      <w:spacing/>
      <w:ind/>
    </w:pPr>
    <w:rPr>
      <w:color w:val="595959" w:themeColor="text1" w:themeTint="A6"/>
      <w:spacing w:val="15"/>
      <w:sz w:val="28"/>
      <w:szCs w:val="28"/>
    </w:rPr>
  </w:style>
  <w:style w:type="paragraph" w:styleId="162">
    <w:name w:val="Quote"/>
    <w:basedOn w:val="660"/>
    <w:next w:val="660"/>
    <w:link w:val="163"/>
    <w:uiPriority w:val="29"/>
    <w:qFormat/>
    <w:pPr>
      <w:pBdr/>
      <w:spacing w:before="160"/>
      <w:ind/>
      <w:jc w:val="center"/>
    </w:pPr>
    <w:rPr>
      <w:i/>
      <w:iCs/>
      <w:color w:val="404040" w:themeColor="text1" w:themeTint="BF"/>
    </w:rPr>
  </w:style>
  <w:style w:type="character" w:styleId="163">
    <w:name w:val="Quote Char"/>
    <w:basedOn w:val="661"/>
    <w:link w:val="162"/>
    <w:uiPriority w:val="29"/>
    <w:pPr>
      <w:pBdr/>
      <w:spacing/>
      <w:ind/>
    </w:pPr>
    <w:rPr>
      <w:i/>
      <w:iCs/>
      <w:color w:val="404040" w:themeColor="text1" w:themeTint="BF"/>
    </w:rPr>
  </w:style>
  <w:style w:type="paragraph" w:styleId="164">
    <w:name w:val="List Paragraph"/>
    <w:basedOn w:val="660"/>
    <w:uiPriority w:val="34"/>
    <w:qFormat/>
    <w:pPr>
      <w:pBdr/>
      <w:spacing/>
      <w:ind w:left="720"/>
      <w:contextualSpacing w:val="true"/>
    </w:pPr>
  </w:style>
  <w:style w:type="character" w:styleId="165">
    <w:name w:val="Intense Emphasis"/>
    <w:basedOn w:val="661"/>
    <w:uiPriority w:val="21"/>
    <w:qFormat/>
    <w:pPr>
      <w:pBdr/>
      <w:spacing/>
      <w:ind/>
    </w:pPr>
    <w:rPr>
      <w:i/>
      <w:iCs/>
      <w:color w:val="0f4761" w:themeColor="accent1" w:themeShade="BF"/>
    </w:rPr>
  </w:style>
  <w:style w:type="paragraph" w:styleId="166">
    <w:name w:val="Intense Quote"/>
    <w:basedOn w:val="660"/>
    <w:next w:val="660"/>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661"/>
    <w:link w:val="166"/>
    <w:uiPriority w:val="30"/>
    <w:pPr>
      <w:pBdr/>
      <w:spacing/>
      <w:ind/>
    </w:pPr>
    <w:rPr>
      <w:i/>
      <w:iCs/>
      <w:color w:val="0f4761" w:themeColor="accent1" w:themeShade="BF"/>
    </w:rPr>
  </w:style>
  <w:style w:type="character" w:styleId="168">
    <w:name w:val="Intense Reference"/>
    <w:basedOn w:val="661"/>
    <w:uiPriority w:val="32"/>
    <w:qFormat/>
    <w:pPr>
      <w:pBdr/>
      <w:spacing/>
      <w:ind/>
    </w:pPr>
    <w:rPr>
      <w:b/>
      <w:bCs/>
      <w:smallCaps/>
      <w:color w:val="0f4761" w:themeColor="accent1" w:themeShade="BF"/>
      <w:spacing w:val="5"/>
    </w:rPr>
  </w:style>
  <w:style w:type="paragraph" w:styleId="169">
    <w:name w:val="No Spacing"/>
    <w:basedOn w:val="660"/>
    <w:uiPriority w:val="1"/>
    <w:qFormat/>
    <w:pPr>
      <w:pBdr/>
      <w:spacing w:after="0" w:line="240" w:lineRule="auto"/>
      <w:ind/>
    </w:pPr>
  </w:style>
  <w:style w:type="character" w:styleId="170">
    <w:name w:val="Subtle Emphasis"/>
    <w:basedOn w:val="661"/>
    <w:uiPriority w:val="19"/>
    <w:qFormat/>
    <w:pPr>
      <w:pBdr/>
      <w:spacing/>
      <w:ind/>
    </w:pPr>
    <w:rPr>
      <w:i/>
      <w:iCs/>
      <w:color w:val="404040" w:themeColor="text1" w:themeTint="BF"/>
    </w:rPr>
  </w:style>
  <w:style w:type="character" w:styleId="171">
    <w:name w:val="Emphasis"/>
    <w:basedOn w:val="661"/>
    <w:uiPriority w:val="20"/>
    <w:qFormat/>
    <w:pPr>
      <w:pBdr/>
      <w:spacing/>
      <w:ind/>
    </w:pPr>
    <w:rPr>
      <w:i/>
      <w:iCs/>
    </w:rPr>
  </w:style>
  <w:style w:type="character" w:styleId="172">
    <w:name w:val="Strong"/>
    <w:basedOn w:val="661"/>
    <w:uiPriority w:val="22"/>
    <w:qFormat/>
    <w:pPr>
      <w:pBdr/>
      <w:spacing/>
      <w:ind/>
    </w:pPr>
    <w:rPr>
      <w:b/>
      <w:bCs/>
    </w:rPr>
  </w:style>
  <w:style w:type="character" w:styleId="173">
    <w:name w:val="Subtle Reference"/>
    <w:basedOn w:val="661"/>
    <w:uiPriority w:val="31"/>
    <w:qFormat/>
    <w:pPr>
      <w:pBdr/>
      <w:spacing/>
      <w:ind/>
    </w:pPr>
    <w:rPr>
      <w:smallCaps/>
      <w:color w:val="5a5a5a" w:themeColor="text1" w:themeTint="A5"/>
    </w:rPr>
  </w:style>
  <w:style w:type="character" w:styleId="174">
    <w:name w:val="Book Title"/>
    <w:basedOn w:val="661"/>
    <w:uiPriority w:val="33"/>
    <w:qFormat/>
    <w:pPr>
      <w:pBdr/>
      <w:spacing/>
      <w:ind/>
    </w:pPr>
    <w:rPr>
      <w:b/>
      <w:bCs/>
      <w:i/>
      <w:iCs/>
      <w:spacing w:val="5"/>
    </w:rPr>
  </w:style>
  <w:style w:type="paragraph" w:styleId="175">
    <w:name w:val="Header"/>
    <w:basedOn w:val="660"/>
    <w:link w:val="176"/>
    <w:uiPriority w:val="99"/>
    <w:unhideWhenUsed/>
    <w:pPr>
      <w:pBdr/>
      <w:tabs>
        <w:tab w:val="center" w:leader="none" w:pos="4844"/>
        <w:tab w:val="right" w:leader="none" w:pos="9689"/>
      </w:tabs>
      <w:spacing w:after="0" w:line="240" w:lineRule="auto"/>
      <w:ind/>
    </w:pPr>
  </w:style>
  <w:style w:type="character" w:styleId="176">
    <w:name w:val="Header Char"/>
    <w:basedOn w:val="661"/>
    <w:link w:val="175"/>
    <w:uiPriority w:val="99"/>
    <w:pPr>
      <w:pBdr/>
      <w:spacing/>
      <w:ind/>
    </w:pPr>
  </w:style>
  <w:style w:type="paragraph" w:styleId="177">
    <w:name w:val="Footer"/>
    <w:basedOn w:val="660"/>
    <w:link w:val="178"/>
    <w:uiPriority w:val="99"/>
    <w:unhideWhenUsed/>
    <w:pPr>
      <w:pBdr/>
      <w:tabs>
        <w:tab w:val="center" w:leader="none" w:pos="4844"/>
        <w:tab w:val="right" w:leader="none" w:pos="9689"/>
      </w:tabs>
      <w:spacing w:after="0" w:line="240" w:lineRule="auto"/>
      <w:ind/>
    </w:pPr>
  </w:style>
  <w:style w:type="character" w:styleId="178">
    <w:name w:val="Footer Char"/>
    <w:basedOn w:val="661"/>
    <w:link w:val="177"/>
    <w:uiPriority w:val="99"/>
    <w:pPr>
      <w:pBdr/>
      <w:spacing/>
      <w:ind/>
    </w:pPr>
  </w:style>
  <w:style w:type="paragraph" w:styleId="179">
    <w:name w:val="Caption"/>
    <w:basedOn w:val="660"/>
    <w:next w:val="660"/>
    <w:uiPriority w:val="35"/>
    <w:unhideWhenUsed/>
    <w:qFormat/>
    <w:pPr>
      <w:pBdr/>
      <w:spacing w:after="200" w:line="240" w:lineRule="auto"/>
      <w:ind/>
    </w:pPr>
    <w:rPr>
      <w:i/>
      <w:iCs/>
      <w:color w:val="0e2841" w:themeColor="text2"/>
      <w:sz w:val="18"/>
      <w:szCs w:val="18"/>
    </w:rPr>
  </w:style>
  <w:style w:type="paragraph" w:styleId="180">
    <w:name w:val="footnote text"/>
    <w:basedOn w:val="660"/>
    <w:link w:val="181"/>
    <w:uiPriority w:val="99"/>
    <w:semiHidden/>
    <w:unhideWhenUsed/>
    <w:pPr>
      <w:pBdr/>
      <w:spacing w:after="0" w:line="240" w:lineRule="auto"/>
      <w:ind/>
    </w:pPr>
    <w:rPr>
      <w:sz w:val="20"/>
      <w:szCs w:val="20"/>
    </w:rPr>
  </w:style>
  <w:style w:type="character" w:styleId="181">
    <w:name w:val="Footnote Text Char"/>
    <w:basedOn w:val="661"/>
    <w:link w:val="180"/>
    <w:uiPriority w:val="99"/>
    <w:semiHidden/>
    <w:pPr>
      <w:pBdr/>
      <w:spacing/>
      <w:ind/>
    </w:pPr>
    <w:rPr>
      <w:sz w:val="20"/>
      <w:szCs w:val="20"/>
    </w:rPr>
  </w:style>
  <w:style w:type="character" w:styleId="182">
    <w:name w:val="footnote reference"/>
    <w:basedOn w:val="661"/>
    <w:uiPriority w:val="99"/>
    <w:semiHidden/>
    <w:unhideWhenUsed/>
    <w:pPr>
      <w:pBdr/>
      <w:spacing/>
      <w:ind/>
    </w:pPr>
    <w:rPr>
      <w:vertAlign w:val="superscript"/>
    </w:rPr>
  </w:style>
  <w:style w:type="paragraph" w:styleId="183">
    <w:name w:val="endnote text"/>
    <w:basedOn w:val="660"/>
    <w:link w:val="184"/>
    <w:uiPriority w:val="99"/>
    <w:semiHidden/>
    <w:unhideWhenUsed/>
    <w:pPr>
      <w:pBdr/>
      <w:spacing w:after="0" w:line="240" w:lineRule="auto"/>
      <w:ind/>
    </w:pPr>
    <w:rPr>
      <w:sz w:val="20"/>
      <w:szCs w:val="20"/>
    </w:rPr>
  </w:style>
  <w:style w:type="character" w:styleId="184">
    <w:name w:val="Endnote Text Char"/>
    <w:basedOn w:val="661"/>
    <w:link w:val="183"/>
    <w:uiPriority w:val="99"/>
    <w:semiHidden/>
    <w:pPr>
      <w:pBdr/>
      <w:spacing/>
      <w:ind/>
    </w:pPr>
    <w:rPr>
      <w:sz w:val="20"/>
      <w:szCs w:val="20"/>
    </w:rPr>
  </w:style>
  <w:style w:type="character" w:styleId="185">
    <w:name w:val="endnote reference"/>
    <w:basedOn w:val="661"/>
    <w:uiPriority w:val="99"/>
    <w:semiHidden/>
    <w:unhideWhenUsed/>
    <w:pPr>
      <w:pBdr/>
      <w:spacing/>
      <w:ind/>
    </w:pPr>
    <w:rPr>
      <w:vertAlign w:val="superscript"/>
    </w:rPr>
  </w:style>
  <w:style w:type="character" w:styleId="186">
    <w:name w:val="Hyperlink"/>
    <w:basedOn w:val="661"/>
    <w:uiPriority w:val="99"/>
    <w:unhideWhenUsed/>
    <w:pPr>
      <w:pBdr/>
      <w:spacing/>
      <w:ind/>
    </w:pPr>
    <w:rPr>
      <w:color w:val="0563c1" w:themeColor="hyperlink"/>
      <w:u w:val="single"/>
    </w:rPr>
  </w:style>
  <w:style w:type="character" w:styleId="187">
    <w:name w:val="FollowedHyperlink"/>
    <w:basedOn w:val="661"/>
    <w:uiPriority w:val="99"/>
    <w:semiHidden/>
    <w:unhideWhenUsed/>
    <w:pPr>
      <w:pBdr/>
      <w:spacing/>
      <w:ind/>
    </w:pPr>
    <w:rPr>
      <w:color w:val="954f72" w:themeColor="followedHyperlink"/>
      <w:u w:val="single"/>
    </w:rPr>
  </w:style>
  <w:style w:type="paragraph" w:styleId="188">
    <w:name w:val="toc 1"/>
    <w:basedOn w:val="660"/>
    <w:next w:val="660"/>
    <w:uiPriority w:val="39"/>
    <w:unhideWhenUsed/>
    <w:pPr>
      <w:pBdr/>
      <w:spacing w:after="100"/>
      <w:ind/>
    </w:pPr>
  </w:style>
  <w:style w:type="paragraph" w:styleId="189">
    <w:name w:val="toc 2"/>
    <w:basedOn w:val="660"/>
    <w:next w:val="660"/>
    <w:uiPriority w:val="39"/>
    <w:unhideWhenUsed/>
    <w:pPr>
      <w:pBdr/>
      <w:spacing w:after="100"/>
      <w:ind w:left="220"/>
    </w:pPr>
  </w:style>
  <w:style w:type="paragraph" w:styleId="190">
    <w:name w:val="toc 3"/>
    <w:basedOn w:val="660"/>
    <w:next w:val="660"/>
    <w:uiPriority w:val="39"/>
    <w:unhideWhenUsed/>
    <w:pPr>
      <w:pBdr/>
      <w:spacing w:after="100"/>
      <w:ind w:left="440"/>
    </w:pPr>
  </w:style>
  <w:style w:type="paragraph" w:styleId="191">
    <w:name w:val="toc 4"/>
    <w:basedOn w:val="660"/>
    <w:next w:val="660"/>
    <w:uiPriority w:val="39"/>
    <w:unhideWhenUsed/>
    <w:pPr>
      <w:pBdr/>
      <w:spacing w:after="100"/>
      <w:ind w:left="660"/>
    </w:pPr>
  </w:style>
  <w:style w:type="paragraph" w:styleId="192">
    <w:name w:val="toc 5"/>
    <w:basedOn w:val="660"/>
    <w:next w:val="660"/>
    <w:uiPriority w:val="39"/>
    <w:unhideWhenUsed/>
    <w:pPr>
      <w:pBdr/>
      <w:spacing w:after="100"/>
      <w:ind w:left="880"/>
    </w:pPr>
  </w:style>
  <w:style w:type="paragraph" w:styleId="193">
    <w:name w:val="toc 6"/>
    <w:basedOn w:val="660"/>
    <w:next w:val="660"/>
    <w:uiPriority w:val="39"/>
    <w:unhideWhenUsed/>
    <w:pPr>
      <w:pBdr/>
      <w:spacing w:after="100"/>
      <w:ind w:left="1100"/>
    </w:pPr>
  </w:style>
  <w:style w:type="paragraph" w:styleId="194">
    <w:name w:val="toc 7"/>
    <w:basedOn w:val="660"/>
    <w:next w:val="660"/>
    <w:uiPriority w:val="39"/>
    <w:unhideWhenUsed/>
    <w:pPr>
      <w:pBdr/>
      <w:spacing w:after="100"/>
      <w:ind w:left="1320"/>
    </w:pPr>
  </w:style>
  <w:style w:type="paragraph" w:styleId="195">
    <w:name w:val="toc 8"/>
    <w:basedOn w:val="660"/>
    <w:next w:val="660"/>
    <w:uiPriority w:val="39"/>
    <w:unhideWhenUsed/>
    <w:pPr>
      <w:pBdr/>
      <w:spacing w:after="100"/>
      <w:ind w:left="1540"/>
    </w:pPr>
  </w:style>
  <w:style w:type="paragraph" w:styleId="196">
    <w:name w:val="toc 9"/>
    <w:basedOn w:val="660"/>
    <w:next w:val="660"/>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660"/>
    <w:next w:val="660"/>
    <w:uiPriority w:val="99"/>
    <w:unhideWhenUsed/>
    <w:pPr>
      <w:pBdr/>
      <w:spacing w:after="0" w:afterAutospacing="0"/>
      <w:ind/>
    </w:pPr>
  </w:style>
  <w:style w:type="paragraph" w:styleId="660" w:default="1">
    <w:name w:val="Normal"/>
    <w:qFormat/>
    <w:pPr>
      <w:pBdr/>
      <w:spacing w:line="259" w:lineRule="auto"/>
      <w:ind/>
    </w:pPr>
    <w:rPr>
      <w:rFonts w:ascii="Calibri" w:hAnsi="Calibri" w:eastAsia="Calibri" w:cs="Calibri"/>
      <w:color w:val="000000"/>
      <w:sz w:val="22"/>
    </w:rPr>
  </w:style>
  <w:style w:type="character" w:styleId="661" w:default="1">
    <w:name w:val="Default Paragraph Font"/>
    <w:uiPriority w:val="1"/>
    <w:semiHidden/>
    <w:unhideWhenUsed/>
    <w:pPr>
      <w:pBdr/>
      <w:spacing/>
      <w:ind/>
    </w:pPr>
  </w:style>
  <w:style w:type="table" w:styleId="662"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63" w:default="1">
    <w:name w:val="No List"/>
    <w:uiPriority w:val="99"/>
    <w:semiHidden/>
    <w:unhideWhenUsed/>
    <w:pPr>
      <w:pBdr/>
      <w:spacing/>
      <w:ind/>
    </w:pPr>
  </w:style>
  <w:style w:type="table" w:styleId="664" w:customStyle="1">
    <w:name w:val="Table Grid"/>
    <w:pPr>
      <w:pBdr/>
      <w:spacing w:after="0" w:line="240" w:lineRule="auto"/>
      <w:ind/>
    </w:p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E727F3-0EFE-4FAA-893D-CF14C1CB1558}">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ADA5CA14-AF1F-4C83-BEE3-43AC626B74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AFC77E-5A99-4912-BE86-76E3F9D6C9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dc:creator>
  <cp:keywords/>
  <cp:lastModifiedBy>Qaiser Rehman</cp:lastModifiedBy>
  <cp:revision>4</cp:revision>
  <dcterms:created xsi:type="dcterms:W3CDTF">2025-02-06T17:45:00Z</dcterms:created>
  <dcterms:modified xsi:type="dcterms:W3CDTF">2025-07-01T17:58:30Z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