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240 – Specialized Imaging 1</w:t>
      </w: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Course Reading List</w:t>
      </w: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 w:after="0"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  <w:t xml:space="preserve">Textbook(s):</w:t>
      </w:r>
      <w:r>
        <w:rPr>
          <w:rFonts w:ascii="Futura PT Book" w:hAnsi="Futura PT Book"/>
          <w:b/>
          <w:sz w:val="24"/>
        </w:rPr>
      </w:r>
      <w:r>
        <w:rPr>
          <w:rFonts w:ascii="Futura PT Book" w:hAnsi="Futura PT Book"/>
          <w:b/>
          <w:sz w:val="24"/>
        </w:rPr>
      </w:r>
    </w:p>
    <w:p>
      <w:pPr>
        <w:pBdr/>
        <w:spacing w:after="0"/>
        <w:ind/>
        <w:rPr>
          <w:rFonts w:ascii="Futura PT Book" w:hAnsi="Futura PT Book"/>
          <w:i/>
        </w:rPr>
      </w:pPr>
      <w:r>
        <w:rPr>
          <w:rFonts w:ascii="Futura PT Book" w:hAnsi="Futura PT Book"/>
        </w:rPr>
        <w:t xml:space="preserve">1.Ehrlich, R.A., &amp; </w:t>
      </w:r>
      <w:r>
        <w:rPr>
          <w:rFonts w:ascii="Futura PT Book" w:hAnsi="Futura PT Book"/>
        </w:rPr>
        <w:t xml:space="preserve">Coakes</w:t>
      </w:r>
      <w:r>
        <w:rPr>
          <w:rFonts w:ascii="Futura PT Book" w:hAnsi="Futura PT Book"/>
        </w:rPr>
        <w:t xml:space="preserve">, D.M. (2021). </w:t>
      </w:r>
      <w:r>
        <w:rPr>
          <w:rFonts w:ascii="Futura PT Book" w:hAnsi="Futura PT Book"/>
          <w:i/>
        </w:rPr>
        <w:t xml:space="preserve">Patient care in radiography: With an introduction to medical </w:t>
      </w:r>
      <w:r>
        <w:rPr>
          <w:rFonts w:ascii="Futura PT Book" w:hAnsi="Futura PT Book"/>
          <w:i/>
        </w:rPr>
      </w:r>
      <w:r>
        <w:rPr>
          <w:rFonts w:ascii="Futura PT Book" w:hAnsi="Futura PT Book"/>
          <w:i/>
        </w:rPr>
      </w:r>
    </w:p>
    <w:p>
      <w:pPr>
        <w:pBdr/>
        <w:spacing/>
        <w:ind w:firstLine="720"/>
        <w:rPr>
          <w:rFonts w:ascii="Futura PT Book" w:hAnsi="Futura PT Book"/>
        </w:rPr>
      </w:pPr>
      <w:r>
        <w:rPr>
          <w:rFonts w:ascii="Futura PT Book" w:hAnsi="Futura PT Book"/>
          <w:i/>
        </w:rPr>
        <w:t xml:space="preserve">imaging</w:t>
      </w:r>
      <w:r>
        <w:rPr>
          <w:rFonts w:ascii="Futura PT Book" w:hAnsi="Futura PT Book"/>
        </w:rPr>
        <w:t xml:space="preserve">  </w:t>
      </w:r>
      <w:r>
        <w:rPr>
          <w:rFonts w:ascii="Futura PT Book" w:hAnsi="Futura PT Book"/>
          <w:b/>
          <w:color w:val="0070c0"/>
        </w:rPr>
        <w:t xml:space="preserve">10</w:t>
      </w:r>
      <w:r>
        <w:rPr>
          <w:rFonts w:ascii="Futura PT Book" w:hAnsi="Futura PT Book"/>
          <w:b/>
          <w:color w:val="0070c0"/>
          <w:vertAlign w:val="superscript"/>
        </w:rPr>
        <w:t xml:space="preserve">th</w:t>
      </w:r>
      <w:r>
        <w:rPr>
          <w:rFonts w:ascii="Futura PT Book" w:hAnsi="Futura PT Book"/>
        </w:rPr>
        <w:t xml:space="preserve"> edition</w:t>
      </w:r>
      <w:bookmarkStart w:id="0" w:name="_Hlk56245050"/>
      <w:r>
        <w:rPr>
          <w:rFonts w:ascii="Futura PT Book" w:hAnsi="Futura PT Book"/>
        </w:rPr>
        <w:t xml:space="preserve"> St. Louis, MO: Mosby Elsevier.</w:t>
      </w:r>
      <w:bookmarkEnd w:id="0"/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2. </w:t>
      </w:r>
      <w:r>
        <w:rPr>
          <w:rFonts w:ascii="Futura PT Book" w:hAnsi="Futura PT Book"/>
        </w:rPr>
        <w:t xml:space="preserve">Lampigano</w:t>
      </w:r>
      <w:r>
        <w:rPr>
          <w:rFonts w:ascii="Futura PT Book" w:hAnsi="Futura PT Book"/>
        </w:rPr>
        <w:t xml:space="preserve"> and Kendrick (2022) </w:t>
      </w:r>
      <w:r>
        <w:rPr>
          <w:rFonts w:ascii="Futura PT Book" w:hAnsi="Futura PT Book"/>
          <w:b/>
          <w:i/>
          <w:color w:val="c45911" w:themeColor="accent2" w:themeShade="BF"/>
        </w:rPr>
        <w:t xml:space="preserve">Bontrager</w:t>
      </w:r>
      <w:r>
        <w:rPr>
          <w:rFonts w:ascii="Futura PT Book" w:hAnsi="Futura PT Book"/>
          <w:i/>
        </w:rPr>
        <w:t xml:space="preserve"> Textbook of Radiographic Positioning and Related Anatomy</w:t>
      </w:r>
      <w:r>
        <w:rPr>
          <w:rFonts w:ascii="Futura PT Book" w:hAnsi="Futura PT Book"/>
        </w:rPr>
        <w:t xml:space="preserve"> (</w:t>
      </w:r>
      <w:r>
        <w:rPr>
          <w:rFonts w:ascii="Futura PT Book" w:hAnsi="Futura PT Book"/>
          <w:color w:val="c45911" w:themeColor="accent2" w:themeShade="BF"/>
        </w:rPr>
        <w:t xml:space="preserve">10</w:t>
      </w:r>
      <w:r>
        <w:rPr>
          <w:rFonts w:ascii="Futura PT Book" w:hAnsi="Futura PT Book"/>
          <w:color w:val="c45911" w:themeColor="accent2" w:themeShade="BF"/>
          <w:vertAlign w:val="superscript"/>
        </w:rPr>
        <w:t xml:space="preserve">th</w:t>
      </w:r>
      <w:r>
        <w:rPr>
          <w:rFonts w:ascii="Futura PT Book" w:hAnsi="Futura PT Book"/>
        </w:rPr>
        <w:t xml:space="preserve"> edition) St. Louis, MO: Mosby Elsevier.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969"/>
        <w:tblW w:w="0" w:type="auto"/>
        <w:tblBorders/>
        <w:tblLook w:val="04A0" w:firstRow="1" w:lastRow="0" w:firstColumn="1" w:lastColumn="0" w:noHBand="0" w:noVBand="1"/>
      </w:tblPr>
      <w:tblGrid>
        <w:gridCol w:w="9350"/>
      </w:tblGrid>
      <w:tr>
        <w:trPr/>
        <w:tc>
          <w:tcPr>
            <w:shd w:val="clear" w:color="auto" w:fill="e7e6e6" w:themeFill="background2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Operating Room and Mobile Imaging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231"/>
        </w:trPr>
        <w:tc>
          <w:tcPr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  <w:i/>
                <w:sz w:val="22"/>
                <w:szCs w:val="22"/>
              </w:rPr>
            </w:pPr>
            <w:r>
              <w:rPr>
                <w:rFonts w:ascii="Futura PT Book" w:hAnsi="Futura PT Book"/>
                <w:b/>
                <w:i/>
                <w:sz w:val="22"/>
                <w:szCs w:val="22"/>
              </w:rPr>
            </w:r>
            <w:r>
              <w:rPr>
                <w:rFonts w:ascii="Futura PT Book" w:hAnsi="Futura PT Book"/>
                <w:b/>
                <w:i/>
                <w:sz w:val="22"/>
                <w:szCs w:val="22"/>
              </w:rPr>
            </w:r>
            <w:r>
              <w:rPr>
                <w:rFonts w:ascii="Futura PT Book" w:hAnsi="Futura PT Book"/>
                <w:b/>
                <w:i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0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Operating Room Imaging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1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Ehrlich 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edition pg.393-399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1"/>
              </w:numPr>
              <w:pBdr/>
              <w:spacing/>
              <w:ind/>
              <w:rPr>
                <w:rFonts w:ascii="Futura PT Book" w:hAnsi="Futura PT Book"/>
                <w:b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pg.598-617 inclusively</w:t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0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Mobile Imaging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pg.572-573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e7e6e6" w:themeFill="background2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Medical and Surgical Asepsis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41"/>
        </w:trPr>
        <w:tc>
          <w:tcPr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  <w:sz w:val="22"/>
                <w:szCs w:val="22"/>
              </w:rPr>
            </w:pPr>
            <w:r>
              <w:rPr>
                <w:rFonts w:ascii="Futura PT Book" w:hAnsi="Futura PT Book"/>
                <w:b/>
                <w:sz w:val="22"/>
                <w:szCs w:val="22"/>
              </w:rPr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5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Medical Asepsis up to “Handling &amp; disposing of contaminated waste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items</w:t>
            </w:r>
            <w:r>
              <w:rPr>
                <w:rFonts w:ascii="Futura PT Book" w:hAnsi="Futura PT Book"/>
                <w:sz w:val="22"/>
                <w:szCs w:val="22"/>
              </w:rPr>
              <w:t xml:space="preserve">”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 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edition pg.169-174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5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Surgical Asepsis: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 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th</w:t>
            </w:r>
            <w:r>
              <w:rPr>
                <w:rFonts w:ascii="Futura PT Book" w:hAnsi="Futura PT Book"/>
                <w:color w:val="7030a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edition pg.187-190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5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Sterile Fields: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7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 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th</w:t>
            </w:r>
            <w:r>
              <w:rPr>
                <w:rFonts w:ascii="Futura PT Book" w:hAnsi="Futura PT Book"/>
                <w:color w:val="0070c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edition pg.190-195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5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Skin prep &amp; surgical hand scrub: 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8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 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</w:t>
            </w:r>
            <w:r>
              <w:rPr>
                <w:rFonts w:ascii="Futura PT Book" w:hAnsi="Futura PT Book"/>
                <w:sz w:val="22"/>
                <w:szCs w:val="22"/>
                <w:vertAlign w:val="superscript"/>
              </w:rPr>
              <w:t xml:space="preserve">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edition pg.193-199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       5.Open and closed gloving technique: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9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 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</w:t>
            </w:r>
            <w:r>
              <w:rPr>
                <w:rFonts w:ascii="Futura PT Book" w:hAnsi="Futura PT Book"/>
                <w:sz w:val="22"/>
                <w:szCs w:val="22"/>
                <w:vertAlign w:val="superscript"/>
              </w:rPr>
              <w:t xml:space="preserve">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edition </w:t>
            </w:r>
            <w:r>
              <w:rPr>
                <w:rFonts w:ascii="Futura PT Book" w:hAnsi="Futura PT Book"/>
                <w:i/>
                <w:sz w:val="22"/>
                <w:szCs w:val="22"/>
              </w:rPr>
              <w:t xml:space="preserve">Procedure 11.7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pg.203-204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b/>
                <w:sz w:val="22"/>
                <w:szCs w:val="22"/>
              </w:rPr>
            </w:pPr>
            <w:r>
              <w:rPr>
                <w:rFonts w:ascii="Futura PT Book" w:hAnsi="Futura PT Book"/>
                <w:b/>
                <w:sz w:val="22"/>
                <w:szCs w:val="22"/>
              </w:rPr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e7e6e6" w:themeFill="background2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Pediatric Imaging 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2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Restraints and Immobilization 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3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ed pg.216-219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3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</w:t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“Introduction and Principles pg.619-627 and pg.630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3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</w:t>
            </w:r>
            <w:r>
              <w:rPr>
                <w:rFonts w:ascii="Futura PT Book" w:hAnsi="Futura PT Book"/>
                <w:color w:val="c45911" w:themeColor="accent2" w:themeShade="BF"/>
                <w:sz w:val="22"/>
                <w:szCs w:val="22"/>
              </w:rPr>
              <w:t xml:space="preserve">r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“Pathology” pg.628-629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3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“Positioning” pg.631-652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d9d9d9" w:themeFill="background1" w:themeFillShade="D9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Geriatric Imaging (There is no Textbook Reading for Bariatric patients)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ffffff" w:themeFill="background1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              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7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Elder Abuse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4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0070c0"/>
                <w:sz w:val="22"/>
                <w:szCs w:val="22"/>
              </w:rPr>
              <w:t xml:space="preserve">Ehrlich 10</w:t>
            </w:r>
            <w:r>
              <w:rPr>
                <w:rFonts w:ascii="Futura PT Book" w:hAnsi="Futura PT Book"/>
                <w:b/>
                <w:color w:val="0070c0"/>
                <w:sz w:val="22"/>
                <w:szCs w:val="22"/>
                <w:vertAlign w:val="superscript"/>
              </w:rPr>
              <w:t xml:space="preserve">th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edition pg.219-221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80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d9d9d9" w:themeFill="background1" w:themeFillShade="D9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Imaging Considerations for Pediatric, Geriatric and Bariatric patients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5"/>
              </w:numPr>
              <w:pBdr/>
              <w:spacing/>
              <w:ind/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 </w:t>
            </w: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</w: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Chest pg.78-80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Abdomen pg.113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Upper limb pg.136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Shoulder pg.185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Lower leg pg.225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Pelvic girdle pg.275-276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 &amp; T spine pg.310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L-spine pg.338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numPr>
                <w:ilvl w:val="0"/>
                <w:numId w:val="16"/>
              </w:num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Bony thorax pg.365-366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d9d9d9" w:themeFill="background1" w:themeFillShade="D9"/>
            <w:tcBorders/>
            <w:tcW w:w="9350" w:type="dxa"/>
            <w:textDirection w:val="lrTb"/>
            <w:noWrap w:val="false"/>
          </w:tcPr>
          <w:p>
            <w:pPr>
              <w:pStyle w:val="975"/>
              <w:pBdr/>
              <w:spacing/>
              <w:ind w:left="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Skeletal Injections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b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  <w:t xml:space="preserve">                      </w:t>
            </w:r>
            <w:r>
              <w:rPr>
                <w:rFonts w:ascii="Futura PT Book" w:hAnsi="Futura PT Book"/>
                <w:b/>
                <w:sz w:val="22"/>
                <w:szCs w:val="22"/>
              </w:rPr>
              <w:t xml:space="preserve">1</w:t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  <w:t xml:space="preserve">.</w:t>
            </w: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</w:t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  <w:t xml:space="preserve">: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Introduction and Arthrography pg.718-721</w:t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  <w:t xml:space="preserve">                       </w:t>
            </w:r>
            <w:r>
              <w:rPr>
                <w:rFonts w:ascii="Futura PT Book" w:hAnsi="Futura PT Book"/>
                <w:b/>
                <w:sz w:val="22"/>
                <w:szCs w:val="22"/>
              </w:rPr>
              <w:t xml:space="preserve">2</w:t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  <w:t xml:space="preserve">.</w:t>
            </w:r>
            <w:r>
              <w:rPr>
                <w:rFonts w:ascii="Futura PT Book" w:hAnsi="Futura PT Book"/>
                <w:b/>
                <w:color w:val="c45911" w:themeColor="accent2" w:themeShade="BF"/>
                <w:sz w:val="22"/>
                <w:szCs w:val="22"/>
              </w:rPr>
              <w:t xml:space="preserve">Bontrager</w:t>
            </w:r>
            <w:r>
              <w:rPr>
                <w:rFonts w:ascii="Futura PT Book" w:hAnsi="Futura PT Book"/>
                <w:sz w:val="22"/>
                <w:szCs w:val="22"/>
              </w:rPr>
              <w:t xml:space="preserve">: Myelography-up to “positioning” pg.727-730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d9d9d9" w:themeFill="background1" w:themeFillShade="D9"/>
            <w:tcBorders/>
            <w:tcW w:w="935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NOTE-Subject to Change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5"/>
        </w:trPr>
        <w:tc>
          <w:tcPr>
            <w:tcBorders/>
            <w:tcW w:w="9350" w:type="dxa"/>
            <w:textDirection w:val="lrTb"/>
            <w:noWrap w:val="false"/>
          </w:tcPr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r>
            <w:r>
              <w:rPr>
                <w:rFonts w:ascii="Futura PT Book" w:hAnsi="Futura PT Book"/>
                <w:b/>
                <w:color w:val="538135" w:themeColor="accent6" w:themeShade="BF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***Textbook Readings are testable</w:t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Style w:val="975"/>
              <w:pBdr/>
              <w:spacing/>
              <w:ind w:left="1440"/>
              <w:rPr>
                <w:rFonts w:ascii="Futura PT Book" w:hAnsi="Futura PT Book"/>
                <w:color w:val="538135" w:themeColor="accent6" w:themeShade="BF"/>
                <w:sz w:val="22"/>
                <w:szCs w:val="22"/>
              </w:rPr>
            </w:pPr>
            <w:r>
              <w:rPr>
                <w:rFonts w:ascii="Futura PT Book" w:hAnsi="Futura PT Book"/>
                <w:color w:val="538135" w:themeColor="accent6" w:themeShade="BF"/>
                <w:sz w:val="22"/>
                <w:szCs w:val="22"/>
              </w:rPr>
            </w:r>
            <w:r>
              <w:rPr>
                <w:rFonts w:ascii="Futura PT Book" w:hAnsi="Futura PT Book"/>
                <w:color w:val="538135" w:themeColor="accent6" w:themeShade="BF"/>
                <w:sz w:val="22"/>
                <w:szCs w:val="22"/>
              </w:rPr>
            </w:r>
            <w:r>
              <w:rPr>
                <w:rFonts w:ascii="Futura PT Book" w:hAnsi="Futura PT Book"/>
                <w:color w:val="538135" w:themeColor="accent6" w:themeShade="BF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58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960"/>
            <w:pBdr/>
            <w:bidi w:val="false"/>
            <w:spacing/>
            <w:ind w:left="-115"/>
            <w:jc w:val="left"/>
            <w:rPr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60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60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60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180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2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24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96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68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0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2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84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56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21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6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3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7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4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2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92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44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180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2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24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96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68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0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2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84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56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180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2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24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96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68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0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2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84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560"/>
      </w:pPr>
      <w:rPr>
        <w:rFonts w:hint="default" w:ascii="Wingdings" w:hAnsi="Wingdings"/>
      </w:rPr>
      <w:start w:val="1"/>
      <w:suff w:val="tab"/>
    </w:lvl>
  </w:abstractNum>
  <w:num w:numId="1">
    <w:abstractNumId w:val="8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8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8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6"/>
  </w:num>
  <w:num w:numId="13">
    <w:abstractNumId w:val="11"/>
  </w:num>
  <w:num w:numId="14">
    <w:abstractNumId w:val="14"/>
  </w:num>
  <w:num w:numId="15">
    <w:abstractNumId w:val="9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82">
    <w:name w:val="Table Grid Light"/>
    <w:basedOn w:val="9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Plain Table 1"/>
    <w:basedOn w:val="9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Plain Table 2"/>
    <w:basedOn w:val="9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1 Light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1 Light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2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3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4 - Accent 1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 - Accent 2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- Accent 3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4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5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- Accent 6"/>
    <w:basedOn w:val="9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5 Dark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6 Colorful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6 Colorful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7 Colorful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7 Colorful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1 Light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1 Light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2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3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4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5 Dark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5 Dark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6 Colorful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6 Colorful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7 Colorful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7 Colorful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ned - Accent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ned - Accent 1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ned - Accent 2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 3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4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5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 6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&amp; Lined - Accent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&amp; Lined - Accent 1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&amp; Lined - Accent 2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 3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4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5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 6"/>
    <w:basedOn w:val="9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- Accent 1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- Accent 2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- Accent 3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4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5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6"/>
    <w:basedOn w:val="9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7">
    <w:name w:val="Heading 4"/>
    <w:basedOn w:val="952"/>
    <w:next w:val="952"/>
    <w:link w:val="9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08">
    <w:name w:val="Heading 6"/>
    <w:basedOn w:val="952"/>
    <w:next w:val="952"/>
    <w:link w:val="91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09">
    <w:name w:val="Heading 7"/>
    <w:basedOn w:val="952"/>
    <w:next w:val="952"/>
    <w:link w:val="91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10">
    <w:name w:val="Heading 8"/>
    <w:basedOn w:val="952"/>
    <w:next w:val="952"/>
    <w:link w:val="91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11">
    <w:name w:val="Heading 9"/>
    <w:basedOn w:val="952"/>
    <w:next w:val="952"/>
    <w:link w:val="91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12">
    <w:name w:val="Heading 4 Char"/>
    <w:basedOn w:val="957"/>
    <w:link w:val="90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13">
    <w:name w:val="Heading 6 Char"/>
    <w:basedOn w:val="957"/>
    <w:link w:val="90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4">
    <w:name w:val="Heading 7 Char"/>
    <w:basedOn w:val="957"/>
    <w:link w:val="90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5">
    <w:name w:val="Heading 8 Char"/>
    <w:basedOn w:val="957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6">
    <w:name w:val="Heading 9 Char"/>
    <w:basedOn w:val="957"/>
    <w:link w:val="91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17">
    <w:name w:val="Title"/>
    <w:basedOn w:val="952"/>
    <w:next w:val="952"/>
    <w:link w:val="91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18">
    <w:name w:val="Title Char"/>
    <w:basedOn w:val="957"/>
    <w:link w:val="91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19">
    <w:name w:val="Subtitle"/>
    <w:basedOn w:val="952"/>
    <w:next w:val="952"/>
    <w:link w:val="92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0">
    <w:name w:val="Subtitle Char"/>
    <w:basedOn w:val="957"/>
    <w:link w:val="91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21">
    <w:name w:val="Quote"/>
    <w:basedOn w:val="952"/>
    <w:next w:val="952"/>
    <w:link w:val="92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22">
    <w:name w:val="Quote Char"/>
    <w:basedOn w:val="957"/>
    <w:link w:val="92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23">
    <w:name w:val="Intense Emphasis"/>
    <w:basedOn w:val="9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24">
    <w:name w:val="Intense Quote"/>
    <w:basedOn w:val="952"/>
    <w:next w:val="952"/>
    <w:link w:val="92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25">
    <w:name w:val="Intense Quote Char"/>
    <w:basedOn w:val="957"/>
    <w:link w:val="92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26">
    <w:name w:val="Intense Reference"/>
    <w:basedOn w:val="9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27">
    <w:name w:val="Subtle Emphasis"/>
    <w:basedOn w:val="9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28">
    <w:name w:val="Emphasis"/>
    <w:basedOn w:val="957"/>
    <w:uiPriority w:val="20"/>
    <w:qFormat/>
    <w:pPr>
      <w:pBdr/>
      <w:spacing/>
      <w:ind/>
    </w:pPr>
    <w:rPr>
      <w:i/>
      <w:iCs/>
    </w:rPr>
  </w:style>
  <w:style w:type="character" w:styleId="929">
    <w:name w:val="Strong"/>
    <w:basedOn w:val="957"/>
    <w:uiPriority w:val="22"/>
    <w:qFormat/>
    <w:pPr>
      <w:pBdr/>
      <w:spacing/>
      <w:ind/>
    </w:pPr>
    <w:rPr>
      <w:b/>
      <w:bCs/>
    </w:rPr>
  </w:style>
  <w:style w:type="character" w:styleId="930">
    <w:name w:val="Subtle Reference"/>
    <w:basedOn w:val="9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31">
    <w:name w:val="Book Title"/>
    <w:basedOn w:val="9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32">
    <w:name w:val="Caption"/>
    <w:basedOn w:val="952"/>
    <w:next w:val="95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33">
    <w:name w:val="footnote text"/>
    <w:basedOn w:val="952"/>
    <w:link w:val="93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4">
    <w:name w:val="Footnote Text Char"/>
    <w:basedOn w:val="957"/>
    <w:link w:val="933"/>
    <w:uiPriority w:val="99"/>
    <w:semiHidden/>
    <w:pPr>
      <w:pBdr/>
      <w:spacing/>
      <w:ind/>
    </w:pPr>
    <w:rPr>
      <w:sz w:val="20"/>
      <w:szCs w:val="20"/>
    </w:rPr>
  </w:style>
  <w:style w:type="character" w:styleId="935">
    <w:name w:val="footnote reference"/>
    <w:basedOn w:val="957"/>
    <w:uiPriority w:val="99"/>
    <w:semiHidden/>
    <w:unhideWhenUsed/>
    <w:pPr>
      <w:pBdr/>
      <w:spacing/>
      <w:ind/>
    </w:pPr>
    <w:rPr>
      <w:vertAlign w:val="superscript"/>
    </w:rPr>
  </w:style>
  <w:style w:type="paragraph" w:styleId="936">
    <w:name w:val="endnote text"/>
    <w:basedOn w:val="952"/>
    <w:link w:val="93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7">
    <w:name w:val="Endnote Text Char"/>
    <w:basedOn w:val="957"/>
    <w:link w:val="936"/>
    <w:uiPriority w:val="99"/>
    <w:semiHidden/>
    <w:pPr>
      <w:pBdr/>
      <w:spacing/>
      <w:ind/>
    </w:pPr>
    <w:rPr>
      <w:sz w:val="20"/>
      <w:szCs w:val="20"/>
    </w:rPr>
  </w:style>
  <w:style w:type="character" w:styleId="938">
    <w:name w:val="endnote reference"/>
    <w:basedOn w:val="957"/>
    <w:uiPriority w:val="99"/>
    <w:semiHidden/>
    <w:unhideWhenUsed/>
    <w:pPr>
      <w:pBdr/>
      <w:spacing/>
      <w:ind/>
    </w:pPr>
    <w:rPr>
      <w:vertAlign w:val="superscript"/>
    </w:rPr>
  </w:style>
  <w:style w:type="character" w:styleId="939">
    <w:name w:val="Hyperlink"/>
    <w:basedOn w:val="9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40">
    <w:name w:val="FollowedHyperlink"/>
    <w:basedOn w:val="9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1">
    <w:name w:val="toc 1"/>
    <w:basedOn w:val="952"/>
    <w:next w:val="952"/>
    <w:uiPriority w:val="39"/>
    <w:unhideWhenUsed/>
    <w:pPr>
      <w:pBdr/>
      <w:spacing w:after="100"/>
      <w:ind/>
    </w:pPr>
  </w:style>
  <w:style w:type="paragraph" w:styleId="942">
    <w:name w:val="toc 2"/>
    <w:basedOn w:val="952"/>
    <w:next w:val="952"/>
    <w:uiPriority w:val="39"/>
    <w:unhideWhenUsed/>
    <w:pPr>
      <w:pBdr/>
      <w:spacing w:after="100"/>
      <w:ind w:left="220"/>
    </w:pPr>
  </w:style>
  <w:style w:type="paragraph" w:styleId="943">
    <w:name w:val="toc 3"/>
    <w:basedOn w:val="952"/>
    <w:next w:val="952"/>
    <w:uiPriority w:val="39"/>
    <w:unhideWhenUsed/>
    <w:pPr>
      <w:pBdr/>
      <w:spacing w:after="100"/>
      <w:ind w:left="440"/>
    </w:pPr>
  </w:style>
  <w:style w:type="paragraph" w:styleId="944">
    <w:name w:val="toc 4"/>
    <w:basedOn w:val="952"/>
    <w:next w:val="952"/>
    <w:uiPriority w:val="39"/>
    <w:unhideWhenUsed/>
    <w:pPr>
      <w:pBdr/>
      <w:spacing w:after="100"/>
      <w:ind w:left="660"/>
    </w:pPr>
  </w:style>
  <w:style w:type="paragraph" w:styleId="945">
    <w:name w:val="toc 5"/>
    <w:basedOn w:val="952"/>
    <w:next w:val="952"/>
    <w:uiPriority w:val="39"/>
    <w:unhideWhenUsed/>
    <w:pPr>
      <w:pBdr/>
      <w:spacing w:after="100"/>
      <w:ind w:left="880"/>
    </w:pPr>
  </w:style>
  <w:style w:type="paragraph" w:styleId="946">
    <w:name w:val="toc 6"/>
    <w:basedOn w:val="952"/>
    <w:next w:val="952"/>
    <w:uiPriority w:val="39"/>
    <w:unhideWhenUsed/>
    <w:pPr>
      <w:pBdr/>
      <w:spacing w:after="100"/>
      <w:ind w:left="1100"/>
    </w:pPr>
  </w:style>
  <w:style w:type="paragraph" w:styleId="947">
    <w:name w:val="toc 7"/>
    <w:basedOn w:val="952"/>
    <w:next w:val="952"/>
    <w:uiPriority w:val="39"/>
    <w:unhideWhenUsed/>
    <w:pPr>
      <w:pBdr/>
      <w:spacing w:after="100"/>
      <w:ind w:left="1320"/>
    </w:pPr>
  </w:style>
  <w:style w:type="paragraph" w:styleId="948">
    <w:name w:val="toc 8"/>
    <w:basedOn w:val="952"/>
    <w:next w:val="952"/>
    <w:uiPriority w:val="39"/>
    <w:unhideWhenUsed/>
    <w:pPr>
      <w:pBdr/>
      <w:spacing w:after="100"/>
      <w:ind w:left="1540"/>
    </w:pPr>
  </w:style>
  <w:style w:type="paragraph" w:styleId="949">
    <w:name w:val="toc 9"/>
    <w:basedOn w:val="952"/>
    <w:next w:val="952"/>
    <w:uiPriority w:val="39"/>
    <w:unhideWhenUsed/>
    <w:pPr>
      <w:pBdr/>
      <w:spacing w:after="100"/>
      <w:ind w:left="1760"/>
    </w:pPr>
  </w:style>
  <w:style w:type="paragraph" w:styleId="950">
    <w:name w:val="TOC Heading"/>
    <w:uiPriority w:val="39"/>
    <w:unhideWhenUsed/>
    <w:pPr>
      <w:pBdr/>
      <w:spacing/>
      <w:ind/>
    </w:pPr>
  </w:style>
  <w:style w:type="paragraph" w:styleId="951">
    <w:name w:val="table of figures"/>
    <w:basedOn w:val="952"/>
    <w:next w:val="952"/>
    <w:uiPriority w:val="99"/>
    <w:unhideWhenUsed/>
    <w:pPr>
      <w:pBdr/>
      <w:spacing w:after="0" w:afterAutospacing="0"/>
      <w:ind/>
    </w:pPr>
  </w:style>
  <w:style w:type="paragraph" w:styleId="952" w:default="1">
    <w:name w:val="Normal"/>
    <w:qFormat/>
    <w:pPr>
      <w:pBdr/>
      <w:spacing/>
      <w:ind/>
    </w:pPr>
  </w:style>
  <w:style w:type="paragraph" w:styleId="953">
    <w:name w:val="Heading 1"/>
    <w:basedOn w:val="952"/>
    <w:link w:val="96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54">
    <w:name w:val="Heading 2"/>
    <w:basedOn w:val="952"/>
    <w:next w:val="952"/>
    <w:link w:val="96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55">
    <w:name w:val="Heading 3"/>
    <w:basedOn w:val="952"/>
    <w:next w:val="952"/>
    <w:link w:val="97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56">
    <w:name w:val="Heading 5"/>
    <w:basedOn w:val="952"/>
    <w:next w:val="952"/>
    <w:link w:val="977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957" w:default="1">
    <w:name w:val="Default Paragraph Font"/>
    <w:uiPriority w:val="1"/>
    <w:semiHidden/>
    <w:unhideWhenUsed/>
    <w:pPr>
      <w:pBdr/>
      <w:spacing/>
      <w:ind/>
    </w:pPr>
  </w:style>
  <w:style w:type="table" w:styleId="95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9" w:default="1">
    <w:name w:val="No List"/>
    <w:uiPriority w:val="99"/>
    <w:semiHidden/>
    <w:unhideWhenUsed/>
    <w:pPr>
      <w:pBdr/>
      <w:spacing/>
      <w:ind/>
    </w:pPr>
  </w:style>
  <w:style w:type="paragraph" w:styleId="960">
    <w:name w:val="Header"/>
    <w:basedOn w:val="952"/>
    <w:link w:val="9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1" w:customStyle="1">
    <w:name w:val="Header Char"/>
    <w:basedOn w:val="957"/>
    <w:link w:val="960"/>
    <w:uiPriority w:val="99"/>
    <w:pPr>
      <w:pBdr/>
      <w:spacing/>
      <w:ind/>
    </w:pPr>
  </w:style>
  <w:style w:type="paragraph" w:styleId="962">
    <w:name w:val="Footer"/>
    <w:basedOn w:val="952"/>
    <w:link w:val="96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3" w:customStyle="1">
    <w:name w:val="Footer Char"/>
    <w:basedOn w:val="957"/>
    <w:link w:val="962"/>
    <w:uiPriority w:val="99"/>
    <w:pPr>
      <w:pBdr/>
      <w:spacing/>
      <w:ind/>
    </w:pPr>
  </w:style>
  <w:style w:type="table" w:styleId="964" w:customStyle="1">
    <w:name w:val="Proposal Table"/>
    <w:basedOn w:val="95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5">
    <w:name w:val="Placeholder Text"/>
    <w:basedOn w:val="95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66">
    <w:name w:val="Normal (Web)"/>
    <w:basedOn w:val="95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67" w:customStyle="1">
    <w:name w:val="Heading 1 Char"/>
    <w:basedOn w:val="957"/>
    <w:link w:val="95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68" w:customStyle="1">
    <w:name w:val="Heading 2 Char"/>
    <w:basedOn w:val="957"/>
    <w:link w:val="95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69">
    <w:name w:val="Table Grid"/>
    <w:basedOn w:val="958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70">
    <w:name w:val="Body Text"/>
    <w:basedOn w:val="952"/>
    <w:link w:val="97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71" w:customStyle="1">
    <w:name w:val="Body Text Char"/>
    <w:basedOn w:val="957"/>
    <w:link w:val="970"/>
    <w:pPr>
      <w:pBdr/>
      <w:spacing/>
      <w:ind/>
    </w:pPr>
    <w:rPr>
      <w:rFonts w:ascii="Cambria" w:hAnsi="Cambria" w:eastAsia="Cambria"/>
      <w:lang w:val="en-US"/>
    </w:rPr>
  </w:style>
  <w:style w:type="paragraph" w:styleId="972" w:customStyle="1">
    <w:name w:val="Table Paragraph"/>
    <w:basedOn w:val="95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73">
    <w:name w:val="No Spacing"/>
    <w:link w:val="974"/>
    <w:uiPriority w:val="1"/>
    <w:qFormat/>
    <w:pPr>
      <w:pBdr/>
      <w:spacing w:after="0" w:line="240" w:lineRule="auto"/>
      <w:ind/>
    </w:pPr>
    <w:rPr>
      <w:lang w:val="en-US"/>
    </w:rPr>
  </w:style>
  <w:style w:type="character" w:styleId="974" w:customStyle="1">
    <w:name w:val="No Spacing Char"/>
    <w:link w:val="973"/>
    <w:uiPriority w:val="1"/>
    <w:pPr>
      <w:pBdr/>
      <w:spacing/>
      <w:ind/>
    </w:pPr>
    <w:rPr>
      <w:lang w:val="en-US"/>
    </w:rPr>
  </w:style>
  <w:style w:type="paragraph" w:styleId="975">
    <w:name w:val="List Paragraph"/>
    <w:basedOn w:val="952"/>
    <w:uiPriority w:val="34"/>
    <w:qFormat/>
    <w:pPr>
      <w:pBdr/>
      <w:spacing/>
      <w:ind w:left="720"/>
      <w:contextualSpacing w:val="true"/>
    </w:pPr>
  </w:style>
  <w:style w:type="character" w:styleId="976" w:customStyle="1">
    <w:name w:val="Heading 3 Char"/>
    <w:basedOn w:val="957"/>
    <w:link w:val="95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77" w:customStyle="1">
    <w:name w:val="Heading 5 Char"/>
    <w:basedOn w:val="957"/>
    <w:link w:val="95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70AE8C-1901-496D-B6CF-F9766C9236E5}"/>
</file>

<file path=customXml/itemProps2.xml><?xml version="1.0" encoding="utf-8"?>
<ds:datastoreItem xmlns:ds="http://schemas.openxmlformats.org/officeDocument/2006/customXml" ds:itemID="{387B5F64-45F3-41E2-AE2D-FE26015AD72C}"/>
</file>

<file path=customXml/itemProps3.xml><?xml version="1.0" encoding="utf-8"?>
<ds:datastoreItem xmlns:ds="http://schemas.openxmlformats.org/officeDocument/2006/customXml" ds:itemID="{2A23DCEC-DDF8-4A39-B0D5-78FD3FEE13E6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Joti Gill</cp:lastModifiedBy>
  <cp:revision>2</cp:revision>
  <dcterms:modified xsi:type="dcterms:W3CDTF">2026-03-18T02:52:49Z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