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84"/>
        <w:suppressLineNumbers w:val="false"/>
        <w:pBdr/>
        <w:bidi w:val="false"/>
        <w:spacing w:after="6" w:afterAutospacing="0" w:before="0" w:beforeAutospacing="0" w:line="270" w:lineRule="auto"/>
        <w:ind w:right="0" w:hanging="10" w:left="11"/>
        <w:jc w:val="left"/>
        <w:rPr/>
      </w:pPr>
      <w:r/>
      <w:r/>
    </w:p>
    <w:tbl>
      <w:tblPr>
        <w:tblStyle w:val="790"/>
        <w:tblW w:w="0" w:type="auto"/>
        <w:tblInd w:w="11" w:type="dxa"/>
        <w:tblBorders/>
        <w:tblLayout w:type="fixed"/>
        <w:tblLook w:val="06A0" w:firstRow="1" w:lastRow="0" w:firstColumn="1" w:lastColumn="0" w:noHBand="1" w:noVBand="1"/>
      </w:tblPr>
      <w:tblGrid>
        <w:gridCol w:w="10590"/>
      </w:tblGrid>
      <w:tr>
        <w:trPr>
          <w:trHeight w:val="300"/>
        </w:trPr>
        <w:tc>
          <w:tcPr>
            <w:tcBorders/>
            <w:tcW w:w="10590" w:type="dxa"/>
            <w:textDirection w:val="lrTb"/>
            <w:noWrap w:val="false"/>
          </w:tcPr>
          <w:p>
            <w:pPr>
              <w:pBdr/>
              <w:spacing/>
              <w:ind/>
              <w:rPr>
                <w:rFonts w:ascii="Futura PT Demi" w:hAnsi="Futura PT Demi"/>
                <w:b/>
                <w:bCs/>
                <w:sz w:val="28"/>
                <w:szCs w:val="28"/>
                <w:lang w:val="en-US"/>
              </w:rPr>
            </w:pPr>
            <w:r>
              <w:rPr>
                <w:rFonts w:ascii="Futura PT Demi" w:hAnsi="Futura PT Demi"/>
                <w:b/>
                <w:bCs/>
                <w:sz w:val="28"/>
                <w:szCs w:val="28"/>
                <w:lang w:val="en-US"/>
              </w:rPr>
              <w:t xml:space="preserve">ANPH 252 – Worksheet – Skeletal System – ANSWER KEY</w:t>
            </w:r>
            <w:r>
              <w:rPr>
                <w:rFonts w:ascii="Futura PT Demi" w:hAnsi="Futura PT Demi"/>
                <w:b/>
                <w:bCs/>
                <w:sz w:val="28"/>
                <w:szCs w:val="28"/>
                <w:lang w:val="en-US"/>
              </w:rPr>
            </w:r>
          </w:p>
        </w:tc>
      </w:tr>
    </w:tbl>
    <w:p>
      <w:pPr>
        <w:pBdr/>
        <w:spacing w:after="6"/>
        <w:ind/>
        <w:rPr/>
      </w:pPr>
      <w:r>
        <w:t xml:space="preserve">Please refer to the following resources to complete the questions below: </w:t>
      </w:r>
      <w:r/>
    </w:p>
    <w:p>
      <w:pPr>
        <w:pBdr/>
        <w:spacing w:after="16" w:line="259" w:lineRule="auto"/>
        <w:ind w:left="356"/>
        <w:rPr/>
      </w:pPr>
      <w:r>
        <w:rPr>
          <w:u w:val="single"/>
        </w:rPr>
        <w:t xml:space="preserve">Skeletal Study Guide</w:t>
      </w:r>
      <w:r>
        <w:t xml:space="preserve"> </w:t>
      </w:r>
      <w:r/>
    </w:p>
    <w:p>
      <w:pPr>
        <w:pBdr/>
        <w:spacing w:after="328" w:line="259" w:lineRule="auto"/>
        <w:ind w:left="356"/>
        <w:rPr/>
      </w:pPr>
      <w:r>
        <w:rPr>
          <w:u w:val="single"/>
        </w:rPr>
        <w:t xml:space="preserve">Skeletal Pathology power point</w:t>
      </w:r>
      <w:r>
        <w:t xml:space="preserve"> </w:t>
      </w:r>
      <w:r/>
    </w:p>
    <w:p>
      <w:pPr>
        <w:numPr>
          <w:ilvl w:val="0"/>
          <w:numId w:val="1"/>
        </w:numPr>
        <w:pBdr/>
        <w:spacing/>
        <w:ind w:hanging="360"/>
        <w:rPr/>
      </w:pPr>
      <w:r>
        <w:t xml:space="preserve">When is a fracture considered to be “stable”?</w:t>
      </w:r>
      <w:r/>
    </w:p>
    <w:p>
      <w:pPr>
        <w:pBdr/>
        <w:spacing w:after="513" w:line="249" w:lineRule="auto"/>
        <w:ind w:left="642"/>
        <w:rPr/>
      </w:pPr>
      <w:r>
        <w:rPr>
          <w:color w:val="ff0000"/>
        </w:rPr>
        <w:t xml:space="preserve">When the bones are well aligned, with no AP or lateral displacement</w:t>
      </w:r>
      <w:r>
        <w:rPr>
          <w:b/>
          <w:i/>
          <w:color w:val="ff0000"/>
        </w:rPr>
        <w:t xml:space="preserve"> </w:t>
      </w:r>
      <w:r/>
    </w:p>
    <w:p>
      <w:pPr>
        <w:numPr>
          <w:ilvl w:val="0"/>
          <w:numId w:val="1"/>
        </w:numPr>
        <w:pBdr/>
        <w:spacing w:after="773" w:line="243" w:lineRule="auto"/>
        <w:ind w:hanging="360"/>
        <w:rPr/>
      </w:pPr>
      <w:r>
        <w:t xml:space="preserve">Why are serial radiographs taken throughout the healing process, after someone has fractured a bone? </w:t>
      </w:r>
      <w:r>
        <w:rPr>
          <w:color w:val="ff0000"/>
        </w:rPr>
        <w:t xml:space="preserve">To ensure the bones remain aligned properly, are healing well, and that no extra complications arise</w:t>
      </w:r>
      <w:r/>
    </w:p>
    <w:p>
      <w:pPr>
        <w:numPr>
          <w:ilvl w:val="0"/>
          <w:numId w:val="1"/>
        </w:numPr>
        <w:pBdr/>
        <w:spacing w:after="515" w:line="249" w:lineRule="auto"/>
        <w:ind w:hanging="360"/>
        <w:rPr/>
      </w:pPr>
      <w:r>
        <w:t xml:space="preserve">Why do we need to include the joint above and the joint below in all long-bone fractures?   </w:t>
      </w:r>
      <w:r>
        <w:rPr>
          <w:color w:val="ff0000"/>
        </w:rPr>
        <w:t xml:space="preserve">To demonstrate any dislocations above or below the original site of injury and because traumatic forces can be transferred more distally or proximally from the original injury site.</w:t>
      </w:r>
      <w:r/>
    </w:p>
    <w:p>
      <w:pPr>
        <w:numPr>
          <w:ilvl w:val="0"/>
          <w:numId w:val="1"/>
        </w:numPr>
        <w:pBdr/>
        <w:spacing/>
        <w:ind w:hanging="360"/>
        <w:rPr/>
      </w:pPr>
      <w:r>
        <w:t xml:space="preserve">List five signs or visual indications that may lead a radiologist to suspect a bone is fractured.</w:t>
      </w:r>
      <w:r/>
    </w:p>
    <w:p>
      <w:pPr>
        <w:pBdr/>
        <w:spacing w:after="1274" w:line="249" w:lineRule="auto"/>
        <w:ind w:left="10"/>
        <w:rPr/>
      </w:pPr>
      <w:r>
        <w:rPr>
          <w:color w:val="ff0000"/>
        </w:rPr>
        <w:t xml:space="preserve">An interruption in the bone contours, periosteum, or trabeculae; soft tissue swelling; joint effusion; angular </w:t>
      </w:r>
      <w:r>
        <w:rPr>
          <w:color w:val="ff0000"/>
        </w:rPr>
        <w:t xml:space="preserve">displacement between the shaft of the bone and its end.</w:t>
      </w:r>
      <w:r>
        <w:rPr>
          <w:b/>
          <w:i/>
          <w:color w:val="ff0000"/>
        </w:rPr>
        <w:t xml:space="preserve"> </w:t>
      </w:r>
      <w:r/>
    </w:p>
    <w:p>
      <w:pPr>
        <w:numPr>
          <w:ilvl w:val="0"/>
          <w:numId w:val="1"/>
        </w:numPr>
        <w:pBdr/>
        <w:spacing w:after="769" w:line="249" w:lineRule="auto"/>
        <w:ind w:hanging="360"/>
        <w:rPr/>
      </w:pPr>
      <w:r>
        <w:t xml:space="preserve">Describe four types of soft tissue injury that may accompany a fracture. </w:t>
      </w:r>
      <w:r>
        <w:rPr>
          <w:color w:val="ff0000"/>
        </w:rPr>
        <w:t xml:space="preserve">Neurovascular damage, joint capsule tears, ligament damage, cartilage injury, and blood in the joint.</w:t>
      </w:r>
      <w:r/>
    </w:p>
    <w:p>
      <w:pPr>
        <w:numPr>
          <w:ilvl w:val="0"/>
          <w:numId w:val="1"/>
        </w:numPr>
        <w:pBdr/>
        <w:spacing w:after="769" w:line="249" w:lineRule="auto"/>
        <w:ind w:hanging="360"/>
        <w:rPr/>
      </w:pPr>
      <w:r>
        <w:t xml:space="preserve">List some of the causes underlying “delayed union” or “non-union” at a fracture site. . </w:t>
      </w:r>
      <w:r>
        <w:rPr>
          <w:color w:val="ff0000"/>
        </w:rPr>
        <w:t xml:space="preserve"> Infection, ineffective immobilization, poor blood supply, or loss of bone density at the fracture site</w:t>
      </w:r>
      <w:r/>
    </w:p>
    <w:p>
      <w:pPr>
        <w:numPr>
          <w:ilvl w:val="0"/>
          <w:numId w:val="1"/>
        </w:numPr>
        <w:pBdr/>
        <w:spacing w:after="769" w:line="249" w:lineRule="auto"/>
        <w:ind w:hanging="360"/>
        <w:rPr/>
      </w:pPr>
      <w:r>
        <w:t xml:space="preserve">Why is a compound fracture potentially more dangerous than a simple one? </w:t>
      </w:r>
      <w:r>
        <w:rPr>
          <w:color w:val="ff0000"/>
        </w:rPr>
        <w:t xml:space="preserve">a compound fracture breaks through the skin barrier which opens up the possibility of infection.</w:t>
      </w:r>
      <w:r/>
    </w:p>
    <w:p>
      <w:pPr>
        <w:numPr>
          <w:ilvl w:val="0"/>
          <w:numId w:val="1"/>
        </w:numPr>
        <w:pBdr/>
        <w:spacing/>
        <w:ind w:hanging="360"/>
        <w:rPr/>
      </w:pPr>
      <w:r>
        <w:t xml:space="preserve">After getting hit with a hockey puck, a hockey player’s patella has been dislocated to the </w:t>
      </w:r>
      <w:r>
        <w:t xml:space="preserve">postero</w:t>
      </w:r>
      <w:r>
        <w:t xml:space="preserve">- lateral side of his knee; the physician gives the player some pain killers and then moves the patella back into position.  What type of reduction is this? </w:t>
      </w:r>
      <w:r>
        <w:rPr>
          <w:color w:val="ff0000"/>
        </w:rPr>
        <w:t xml:space="preserve">Closed reduction</w:t>
      </w:r>
      <w:r/>
    </w:p>
    <w:p>
      <w:pPr>
        <w:numPr>
          <w:ilvl w:val="0"/>
          <w:numId w:val="1"/>
        </w:numPr>
        <w:pBdr/>
        <w:spacing/>
        <w:ind w:hanging="360"/>
        <w:rPr/>
      </w:pPr>
      <w:r>
        <w:t xml:space="preserve">Define “open reduction”.</w:t>
      </w:r>
      <w:r/>
    </w:p>
    <w:p>
      <w:pPr>
        <w:pBdr/>
        <w:spacing w:after="769" w:line="249" w:lineRule="auto"/>
        <w:ind/>
        <w:rPr/>
      </w:pPr>
      <w:r>
        <w:t xml:space="preserve">  </w:t>
      </w:r>
      <w:r>
        <w:rPr>
          <w:color w:val="ff0000"/>
        </w:rPr>
        <w:t xml:space="preserve">A surgical procedure that involves the placement of internal fixators such as rods, plates, or screws, to achieve and maintain realignment of a fractured bone</w:t>
      </w:r>
      <w:r>
        <w:rPr>
          <w:b/>
          <w:i/>
          <w:color w:val="ff0000"/>
        </w:rPr>
        <w:t xml:space="preserve"> </w:t>
      </w:r>
      <w:r/>
    </w:p>
    <w:p>
      <w:pPr>
        <w:numPr>
          <w:ilvl w:val="0"/>
          <w:numId w:val="2"/>
        </w:numPr>
        <w:pBdr/>
        <w:spacing w:after="752"/>
        <w:ind w:hanging="360" w:left="618"/>
        <w:rPr/>
      </w:pPr>
      <w:r>
        <w:t xml:space="preserve">What is the most common impacted, transverse, fracture of the wrist? </w:t>
      </w:r>
      <w:r>
        <w:rPr>
          <w:color w:val="ff0000"/>
        </w:rPr>
        <w:t xml:space="preserve">Colles fracture</w:t>
      </w:r>
      <w:r/>
    </w:p>
    <w:p>
      <w:pPr>
        <w:numPr>
          <w:ilvl w:val="0"/>
          <w:numId w:val="2"/>
        </w:numPr>
        <w:pBdr/>
        <w:spacing w:after="755"/>
        <w:ind w:hanging="360" w:left="618"/>
        <w:rPr/>
      </w:pPr>
      <w:r>
        <w:t xml:space="preserve">An incomplete fracture common in children under 10 years of age is called a/an </w:t>
      </w:r>
      <w:r>
        <w:rPr>
          <w:color w:val="ff0000"/>
        </w:rPr>
        <w:t xml:space="preserve">greenstick #</w:t>
      </w:r>
      <w:r/>
    </w:p>
    <w:p>
      <w:pPr>
        <w:numPr>
          <w:ilvl w:val="0"/>
          <w:numId w:val="2"/>
        </w:numPr>
        <w:pBdr/>
        <w:spacing w:after="755"/>
        <w:ind w:hanging="360" w:left="618"/>
        <w:rPr/>
      </w:pPr>
      <w:r>
        <w:t xml:space="preserve">A childhood fracture involving an epiphyseal plate is known as a/an </w:t>
      </w:r>
      <w:r>
        <w:rPr>
          <w:color w:val="ff0000"/>
        </w:rPr>
        <w:t xml:space="preserve">Salter-Harris #</w:t>
      </w:r>
      <w:r/>
    </w:p>
    <w:p>
      <w:pPr>
        <w:numPr>
          <w:ilvl w:val="0"/>
          <w:numId w:val="2"/>
        </w:numPr>
        <w:pBdr/>
        <w:spacing w:after="483"/>
        <w:ind w:hanging="360" w:left="618"/>
        <w:rPr/>
      </w:pPr>
      <w:r>
        <w:t xml:space="preserve">A competitive speed walker may end up suffering from a common fatigue fracture called a/an </w:t>
      </w:r>
      <w:r>
        <w:rPr>
          <w:color w:val="ff0000"/>
        </w:rPr>
        <w:t xml:space="preserve">marcher’s #</w:t>
      </w:r>
      <w:r/>
    </w:p>
    <w:p>
      <w:pPr>
        <w:numPr>
          <w:ilvl w:val="0"/>
          <w:numId w:val="2"/>
        </w:numPr>
        <w:pBdr/>
        <w:spacing w:after="517"/>
        <w:ind w:hanging="360" w:left="618"/>
        <w:rPr/>
      </w:pPr>
      <w:r>
        <w:t xml:space="preserve">A fracture involving the joint formed by the 1</w:t>
      </w:r>
      <w:r>
        <w:rPr>
          <w:vertAlign w:val="superscript"/>
        </w:rPr>
        <w:t xml:space="preserve">st</w:t>
      </w:r>
      <w:r>
        <w:t xml:space="preserve"> metacarpal and trapezium would be called a/an </w:t>
      </w:r>
      <w:r>
        <w:rPr>
          <w:color w:val="ff0000"/>
        </w:rPr>
        <w:t xml:space="preserve">Bennett’s #</w:t>
      </w:r>
      <w:r/>
    </w:p>
    <w:p>
      <w:pPr>
        <w:numPr>
          <w:ilvl w:val="0"/>
          <w:numId w:val="2"/>
        </w:numPr>
        <w:pBdr/>
        <w:spacing w:after="495"/>
        <w:ind w:hanging="360" w:left="618"/>
        <w:rPr/>
      </w:pPr>
      <w:r>
        <w:t xml:space="preserve">A fracture of the proximal ulna, with anterior displacement  of the radius would be called a/an </w:t>
      </w:r>
      <w:r>
        <w:rPr>
          <w:color w:val="ff0000"/>
        </w:rPr>
        <w:t xml:space="preserve">Monteggia</w:t>
      </w:r>
      <w:r>
        <w:rPr>
          <w:color w:val="ff0000"/>
        </w:rPr>
        <w:t xml:space="preserve"> #</w:t>
      </w:r>
      <w:r/>
    </w:p>
    <w:p>
      <w:pPr>
        <w:numPr>
          <w:ilvl w:val="0"/>
          <w:numId w:val="2"/>
        </w:numPr>
        <w:pBdr/>
        <w:spacing w:after="500"/>
        <w:ind w:hanging="360" w:left="618"/>
        <w:rPr/>
      </w:pPr>
      <w:r>
        <w:t xml:space="preserve">The best radiographic image for demonstrating a </w:t>
      </w:r>
      <w:r>
        <w:t xml:space="preserve">trimalleolar</w:t>
      </w:r>
      <w:r>
        <w:t xml:space="preserve"> fracture is a/an </w:t>
      </w:r>
      <w:r>
        <w:rPr>
          <w:color w:val="ff0000"/>
        </w:rPr>
        <w:t xml:space="preserve">lateral ankle</w:t>
      </w:r>
      <w:r/>
    </w:p>
    <w:p>
      <w:pPr>
        <w:numPr>
          <w:ilvl w:val="0"/>
          <w:numId w:val="2"/>
        </w:numPr>
        <w:pBdr/>
        <w:spacing/>
        <w:ind w:hanging="360" w:left="618"/>
        <w:rPr/>
      </w:pPr>
      <w:r>
        <w:t xml:space="preserve">A fracture of the </w:t>
      </w:r>
      <w:r>
        <w:rPr>
          <w:color w:val="ff0000"/>
        </w:rPr>
        <w:t xml:space="preserve">fibular head </w:t>
      </w:r>
      <w:r>
        <w:t xml:space="preserve">commonly occurs secondary to a </w:t>
      </w:r>
      <w:r>
        <w:t xml:space="preserve">fracture of the distal tib/fib, due to the transfer of mechanical forces.</w:t>
      </w:r>
      <w:r/>
    </w:p>
    <w:p>
      <w:pPr>
        <w:numPr>
          <w:ilvl w:val="0"/>
          <w:numId w:val="2"/>
        </w:numPr>
        <w:pBdr/>
        <w:spacing w:after="791"/>
        <w:ind w:hanging="360" w:left="618"/>
        <w:rPr/>
      </w:pPr>
      <w:r>
        <w:t xml:space="preserve">A tiny fracture caused by a tendon pulling on its bony insertion point is known as a/an </w:t>
      </w:r>
      <w:r>
        <w:rPr>
          <w:color w:val="ff0000"/>
        </w:rPr>
        <w:t xml:space="preserve">avulsion #</w:t>
      </w:r>
      <w:r/>
    </w:p>
    <w:p>
      <w:pPr>
        <w:numPr>
          <w:ilvl w:val="0"/>
          <w:numId w:val="2"/>
        </w:numPr>
        <w:pBdr/>
        <w:spacing w:after="495"/>
        <w:ind w:hanging="360" w:left="618"/>
        <w:rPr/>
      </w:pPr>
      <w:r>
        <w:t xml:space="preserve">On an oblique lumbar spine x-ray, if the “</w:t>
      </w:r>
      <w:r>
        <w:t xml:space="preserve">scottie</w:t>
      </w:r>
      <w:r>
        <w:t xml:space="preserve"> dog’s” neck is broken, but not </w:t>
      </w:r>
      <w:r>
        <w:t xml:space="preserve">subluxed</w:t>
      </w:r>
      <w:r>
        <w:t xml:space="preserve">, what pathology is indicated?  </w:t>
      </w:r>
      <w:r>
        <w:rPr>
          <w:color w:val="ff0000"/>
        </w:rPr>
        <w:t xml:space="preserve">spondylolysis</w:t>
      </w:r>
      <w:r/>
    </w:p>
    <w:p>
      <w:pPr>
        <w:numPr>
          <w:ilvl w:val="0"/>
          <w:numId w:val="2"/>
        </w:numPr>
        <w:pBdr/>
        <w:spacing/>
        <w:ind w:hanging="360" w:left="618"/>
        <w:rPr/>
      </w:pPr>
      <w:r>
        <w:rPr>
          <w:color w:val="ff0000"/>
        </w:rPr>
        <w:t xml:space="preserve">Spondylolisthesis</w:t>
      </w:r>
      <w:r>
        <w:t xml:space="preserve"> is indicated, when a vertebra has “slipped anteriorly” over the vertebra inferior to it.</w:t>
      </w:r>
      <w:r/>
    </w:p>
    <w:p>
      <w:pPr>
        <w:numPr>
          <w:ilvl w:val="0"/>
          <w:numId w:val="2"/>
        </w:numPr>
        <w:pBdr/>
        <w:spacing/>
        <w:ind w:hanging="360" w:left="618"/>
        <w:rPr/>
      </w:pPr>
      <w:r>
        <w:t xml:space="preserve">The medical name for “Bamboo spine” or “Marie </w:t>
      </w:r>
      <w:r>
        <w:t xml:space="preserve">Strumpells</w:t>
      </w:r>
      <w:r>
        <w:t xml:space="preserve">” is</w:t>
      </w:r>
      <w:r>
        <w:rPr>
          <w:color w:val="ff0000"/>
        </w:rPr>
        <w:t xml:space="preserve"> Spondylolisthesis</w:t>
      </w:r>
      <w:r>
        <w:t xml:space="preserve">, which is a </w:t>
      </w:r>
      <w:r>
        <w:t xml:space="preserve">type of (osteo/</w:t>
      </w:r>
      <w:r>
        <w:rPr>
          <w:b/>
          <w:color w:val="ff0000"/>
        </w:rPr>
        <w:t xml:space="preserve">rheumatoid</w:t>
      </w:r>
      <w:r>
        <w:t xml:space="preserve">) arthritis    (circle one)</w:t>
      </w:r>
      <w:r/>
    </w:p>
    <w:p>
      <w:pPr>
        <w:numPr>
          <w:ilvl w:val="0"/>
          <w:numId w:val="2"/>
        </w:numPr>
        <w:pBdr/>
        <w:spacing/>
        <w:ind w:hanging="360" w:left="618"/>
        <w:rPr/>
      </w:pPr>
      <w:r>
        <w:t xml:space="preserve">Where does Marie </w:t>
      </w:r>
      <w:r>
        <w:t xml:space="preserve">Strumpell’s</w:t>
      </w:r>
      <w:r>
        <w:t xml:space="preserve"> disease originate in the body? </w:t>
      </w:r>
      <w:r>
        <w:rPr>
          <w:color w:val="ff0000"/>
        </w:rPr>
        <w:t xml:space="preserve">SI joints</w:t>
      </w:r>
      <w:r/>
    </w:p>
    <w:p>
      <w:pPr>
        <w:numPr>
          <w:ilvl w:val="0"/>
          <w:numId w:val="2"/>
        </w:numPr>
        <w:pBdr/>
        <w:spacing w:after="1045"/>
        <w:ind w:hanging="360" w:left="618"/>
        <w:rPr/>
      </w:pPr>
      <w:r>
        <w:t xml:space="preserve">What bones could sustain a supracondylar fracture?  </w:t>
      </w:r>
      <w:r>
        <w:rPr>
          <w:color w:val="ff0000"/>
        </w:rPr>
        <w:t xml:space="preserve">Femur and humerus</w:t>
      </w:r>
      <w:r/>
    </w:p>
    <w:p>
      <w:pPr>
        <w:numPr>
          <w:ilvl w:val="0"/>
          <w:numId w:val="2"/>
        </w:numPr>
        <w:pBdr/>
        <w:spacing w:after="755"/>
        <w:ind w:hanging="360" w:left="618"/>
        <w:rPr/>
      </w:pPr>
      <w:r>
        <w:t xml:space="preserve">A boxer with a black eye could possibly have a </w:t>
      </w:r>
      <w:r>
        <w:rPr>
          <w:color w:val="ff0000"/>
        </w:rPr>
        <w:t xml:space="preserve">blow-out </w:t>
      </w:r>
      <w:r>
        <w:t xml:space="preserve">fracture.</w:t>
      </w:r>
      <w:r/>
    </w:p>
    <w:p>
      <w:pPr>
        <w:numPr>
          <w:ilvl w:val="0"/>
          <w:numId w:val="2"/>
        </w:numPr>
        <w:pBdr/>
        <w:spacing/>
        <w:ind w:hanging="360" w:left="618"/>
        <w:rPr/>
      </w:pPr>
      <w:r>
        <w:t xml:space="preserve">A community of 3 or more “bony fragments” would best be described as a/an </w:t>
      </w:r>
      <w:r>
        <w:rPr>
          <w:color w:val="ff0000"/>
        </w:rPr>
        <w:t xml:space="preserve">comminuted </w:t>
      </w:r>
      <w:r>
        <w:t xml:space="preserve">fracture.</w:t>
      </w:r>
      <w:r/>
    </w:p>
    <w:p>
      <w:pPr>
        <w:numPr>
          <w:ilvl w:val="0"/>
          <w:numId w:val="2"/>
        </w:numPr>
        <w:pBdr/>
        <w:spacing/>
        <w:ind w:hanging="360" w:left="618"/>
        <w:rPr/>
      </w:pPr>
      <w:r>
        <w:t xml:space="preserve">Acute hyperextension of the head may cause a/an </w:t>
      </w:r>
      <w:r>
        <w:rPr>
          <w:color w:val="ff0000"/>
        </w:rPr>
        <w:t xml:space="preserve">hangman’s </w:t>
      </w:r>
      <w:r>
        <w:t xml:space="preserve">fracture of C2.</w:t>
      </w:r>
      <w:r/>
    </w:p>
    <w:p>
      <w:pPr>
        <w:numPr>
          <w:ilvl w:val="0"/>
          <w:numId w:val="2"/>
        </w:numPr>
        <w:pBdr/>
        <w:spacing w:after="752"/>
        <w:ind w:hanging="360" w:left="618"/>
        <w:rPr/>
      </w:pPr>
      <w:r>
        <w:t xml:space="preserve">Where would a compression fracture most likely be located in the body?  </w:t>
      </w:r>
      <w:r>
        <w:rPr>
          <w:color w:val="ff0000"/>
        </w:rPr>
        <w:t xml:space="preserve">spine</w:t>
      </w:r>
      <w:r/>
    </w:p>
    <w:p>
      <w:pPr>
        <w:numPr>
          <w:ilvl w:val="0"/>
          <w:numId w:val="2"/>
        </w:numPr>
        <w:pBdr/>
        <w:spacing w:after="1045"/>
        <w:ind w:hanging="360" w:left="618"/>
        <w:rPr/>
      </w:pPr>
      <w:r>
        <w:t xml:space="preserve">Where would a depression fracture be located in the body? </w:t>
      </w:r>
      <w:r>
        <w:rPr>
          <w:color w:val="ff0000"/>
        </w:rPr>
        <w:t xml:space="preserve">skull</w:t>
      </w:r>
      <w:r/>
    </w:p>
    <w:p>
      <w:pPr>
        <w:numPr>
          <w:ilvl w:val="0"/>
          <w:numId w:val="2"/>
        </w:numPr>
        <w:pBdr/>
        <w:spacing/>
        <w:ind w:hanging="360" w:left="618"/>
        <w:rPr/>
      </w:pPr>
      <w:r>
        <w:t xml:space="preserve">“</w:t>
      </w:r>
      <w:r>
        <w:t xml:space="preserve">FOOSHing</w:t>
      </w:r>
      <w:r>
        <w:t xml:space="preserve">” in a forward direction is most likely to cause a </w:t>
      </w:r>
      <w:r>
        <w:rPr>
          <w:color w:val="ff0000"/>
        </w:rPr>
        <w:t xml:space="preserve">Colles</w:t>
      </w:r>
      <w:r>
        <w:t xml:space="preserve"> fracture than a </w:t>
      </w:r>
      <w:r>
        <w:rPr>
          <w:color w:val="ff0000"/>
        </w:rPr>
        <w:t xml:space="preserve">Smith’s</w:t>
      </w:r>
      <w:r/>
    </w:p>
    <w:p>
      <w:pPr>
        <w:numPr>
          <w:ilvl w:val="0"/>
          <w:numId w:val="2"/>
        </w:numPr>
        <w:pBdr/>
        <w:spacing w:after="10" w:line="485" w:lineRule="auto"/>
        <w:ind w:hanging="360" w:left="618"/>
        <w:rPr/>
      </w:pPr>
      <w:r>
        <w:t xml:space="preserve">A common bone disease characterized by loss of bone density, especially in the spongy bone of the spine, is known as:</w:t>
      </w:r>
      <w:r>
        <w:rPr>
          <w:color w:val="ff0000"/>
        </w:rPr>
        <w:t xml:space="preserve"> osteoporosis</w:t>
      </w:r>
      <w:r/>
    </w:p>
    <w:p>
      <w:pPr>
        <w:numPr>
          <w:ilvl w:val="0"/>
          <w:numId w:val="2"/>
        </w:numPr>
        <w:pBdr/>
        <w:spacing/>
        <w:ind w:hanging="360" w:left="618"/>
        <w:rPr/>
      </w:pPr>
      <w:r>
        <w:t xml:space="preserve">Define Osgood Schlatter’s disease.</w:t>
      </w:r>
      <w:r/>
    </w:p>
    <w:p>
      <w:pPr>
        <w:pBdr/>
        <w:spacing w:after="1531" w:line="249" w:lineRule="auto"/>
        <w:ind w:left="642"/>
        <w:rPr/>
      </w:pPr>
      <w:r>
        <w:rPr>
          <w:color w:val="ff0000"/>
        </w:rPr>
        <w:t xml:space="preserve">A painful partial or complete separation of the epiphysis from the tibial shaft near the tibial tuberosity. Most common in active children</w:t>
      </w:r>
      <w:r/>
    </w:p>
    <w:p>
      <w:pPr>
        <w:numPr>
          <w:ilvl w:val="0"/>
          <w:numId w:val="2"/>
        </w:numPr>
        <w:pBdr/>
        <w:spacing w:after="1151"/>
        <w:ind w:hanging="360" w:left="618"/>
        <w:rPr/>
      </w:pPr>
      <w:r>
        <w:t xml:space="preserve">Which radiographic view will best demonstrate a blowout fracture?  </w:t>
      </w:r>
      <w:r>
        <w:rPr>
          <w:color w:val="ff0000"/>
        </w:rPr>
        <w:t xml:space="preserve">Shallow waters</w:t>
      </w:r>
      <w:r/>
    </w:p>
    <w:p>
      <w:pPr>
        <w:numPr>
          <w:ilvl w:val="0"/>
          <w:numId w:val="2"/>
        </w:numPr>
        <w:pBdr/>
        <w:spacing/>
        <w:ind w:hanging="360" w:left="618"/>
        <w:rPr/>
      </w:pPr>
      <w:r>
        <w:t xml:space="preserve">Which radiographic protocol would be used to diagnose a boxer’s fracture?</w:t>
      </w:r>
      <w:r/>
    </w:p>
    <w:p>
      <w:pPr>
        <w:pBdr/>
        <w:spacing w:after="769" w:line="249" w:lineRule="auto"/>
        <w:ind w:left="731"/>
        <w:rPr/>
      </w:pPr>
      <w:r>
        <w:rPr>
          <w:color w:val="ff0000"/>
        </w:rPr>
        <w:t xml:space="preserve">Hand series, to visualize head of the 5</w:t>
      </w:r>
      <w:r>
        <w:rPr>
          <w:color w:val="ff0000"/>
          <w:vertAlign w:val="superscript"/>
        </w:rPr>
        <w:t xml:space="preserve">th</w:t>
      </w:r>
      <w:r>
        <w:rPr>
          <w:color w:val="ff0000"/>
        </w:rPr>
        <w:t xml:space="preserve"> metacarpal</w:t>
      </w:r>
      <w:r/>
    </w:p>
    <w:p>
      <w:pPr>
        <w:pBdr/>
        <w:spacing/>
        <w:ind/>
        <w:rPr/>
        <w:sectPr>
          <w:headerReference w:type="default" r:id="rId9"/>
          <w:footerReference w:type="default" r:id="rId10"/>
          <w:footnotePr/>
          <w:endnotePr/>
          <w:type w:val="nextPage"/>
          <w:pgSz w:h="15840" w:orient="portrait" w:w="12240"/>
          <w:pgMar w:top="1483" w:right="204" w:bottom="1716" w:left="1439" w:header="130" w:footer="1010" w:gutter="0"/>
          <w:cols w:num="1" w:sep="0" w:space="720" w:equalWidth="1"/>
        </w:sectPr>
      </w:pPr>
      <w:r/>
      <w:r/>
    </w:p>
    <w:p>
      <w:pPr>
        <w:numPr>
          <w:ilvl w:val="0"/>
          <w:numId w:val="2"/>
        </w:numPr>
        <w:pBdr/>
        <w:spacing/>
        <w:ind w:hanging="360" w:left="618"/>
        <w:rPr/>
      </w:pPr>
      <w:r>
        <w:t xml:space="preserve">What are the similarities and differences between a Colle’s and Smith’s fracture?</w:t>
      </w:r>
      <w:r/>
    </w:p>
    <w:p>
      <w:pPr>
        <w:pBdr/>
        <w:spacing w:after="1221" w:line="249" w:lineRule="auto"/>
        <w:ind w:right="1176" w:left="459"/>
        <w:rPr/>
      </w:pPr>
      <w:r>
        <w:rPr>
          <w:color w:val="ff0000"/>
        </w:rPr>
        <w:t xml:space="preserve">Both involve a transverse fracture through the distal radius but a Colles # is characterized by posterior displacement of the distal fragment, whereas a Smiths is defined by anterior displacement of the distal fragment</w:t>
      </w:r>
      <w:r/>
    </w:p>
    <w:p>
      <w:pPr>
        <w:numPr>
          <w:ilvl w:val="0"/>
          <w:numId w:val="2"/>
        </w:numPr>
        <w:pBdr/>
        <w:spacing w:after="0" w:line="485" w:lineRule="auto"/>
        <w:ind w:hanging="360" w:left="618"/>
        <w:rPr/>
      </w:pPr>
      <w:r>
        <w:t xml:space="preserve">Differentiate between rheumatoid and osteoarthritis, in terms of causes, clinical signs and symptoms, and radiographic appearances. </w:t>
      </w:r>
      <w:r/>
    </w:p>
    <w:p>
      <w:pPr>
        <w:pBdr/>
        <w:spacing w:after="1728" w:line="249" w:lineRule="auto"/>
        <w:ind w:right="1139" w:left="459"/>
        <w:rPr/>
      </w:pPr>
      <w:r>
        <w:rPr>
          <w:b/>
          <w:color w:val="ff0000"/>
          <w:u w:val="single"/>
        </w:rPr>
        <w:t xml:space="preserve">Osteoarthritis</w:t>
      </w:r>
      <w:r>
        <w:rPr>
          <w:color w:val="ff0000"/>
        </w:rPr>
        <w:t xml:space="preserve"> is typically age-related wear and tear that occurs in large weight-bearing joints. The development of bone spurs/osteophytes is a defining feature, along with lopsided (irregular) joint-space narrowing. </w:t>
      </w:r>
      <w:r>
        <w:rPr>
          <w:b/>
          <w:color w:val="ff0000"/>
          <w:u w:val="single"/>
        </w:rPr>
        <w:t xml:space="preserve">Rheumatoid arthritis</w:t>
      </w:r>
      <w:r>
        <w:rPr>
          <w:color w:val="ff0000"/>
        </w:rPr>
        <w:t xml:space="preserve"> is a disease of unknown etiolog</w:t>
      </w:r>
      <w:r>
        <w:rPr>
          <w:color w:val="ff0000"/>
        </w:rPr>
        <w:t xml:space="preserve">y that involves inflammation of synovial joint membranes leading to swelling, evenly distributed joint space narrowing, deposition of scar tissue, and eventual deformity. It usually begins in the small bones of hands and feet.  Advanced RA causes permanent</w:t>
      </w:r>
      <w:r>
        <w:rPr>
          <w:color w:val="ff0000"/>
        </w:rPr>
        <w:t xml:space="preserve"> ulnar deviation.</w:t>
      </w:r>
      <w:r>
        <w:t xml:space="preserve"> </w:t>
      </w:r>
      <w:r/>
    </w:p>
    <w:p>
      <w:pPr>
        <w:numPr>
          <w:ilvl w:val="0"/>
          <w:numId w:val="2"/>
        </w:numPr>
        <w:pBdr/>
        <w:spacing/>
        <w:ind w:hanging="360" w:left="618"/>
        <w:rPr/>
      </w:pPr>
      <w:r>
        <w:t xml:space="preserve">A condition defined by defective closing of the posterior neural arch is </w:t>
      </w:r>
      <w:r>
        <w:rPr>
          <w:color w:val="ff0000"/>
        </w:rPr>
        <w:t xml:space="preserve">spina bifida</w:t>
      </w:r>
      <w:r/>
    </w:p>
    <w:p>
      <w:pPr>
        <w:numPr>
          <w:ilvl w:val="0"/>
          <w:numId w:val="2"/>
        </w:numPr>
        <w:pBdr/>
        <w:spacing w:after="445"/>
        <w:ind w:hanging="360" w:left="618"/>
        <w:rPr/>
      </w:pPr>
      <w:r>
        <w:t xml:space="preserve">A bacterial infection of the bone that displaces the periosteum along the length of the bone is known as </w:t>
      </w:r>
      <w:r>
        <w:rPr>
          <w:color w:val="ff0000"/>
        </w:rPr>
        <w:t xml:space="preserve">osteomyelitis</w:t>
      </w:r>
      <w:r/>
    </w:p>
    <w:p>
      <w:pPr>
        <w:numPr>
          <w:ilvl w:val="0"/>
          <w:numId w:val="2"/>
        </w:numPr>
        <w:pBdr/>
        <w:spacing w:after="4088"/>
        <w:ind w:hanging="360" w:left="618"/>
        <w:rPr/>
      </w:pPr>
      <w:r>
        <w:t xml:space="preserve">Multiple uniform-sized lytic lesions scattered throughout the skeletal system are a radiographic indication of </w:t>
      </w:r>
      <w:r>
        <w:rPr>
          <w:color w:val="ff0000"/>
        </w:rPr>
        <w:t xml:space="preserve">multiple myeloma</w:t>
      </w:r>
      <w:r/>
    </w:p>
    <w:p>
      <w:pPr>
        <w:pBdr/>
        <w:spacing w:after="0" w:line="259" w:lineRule="auto"/>
        <w:ind w:firstLine="0" w:left="806"/>
        <w:rPr/>
      </w:pPr>
      <w:r>
        <w:rPr>
          <w:sz w:val="20"/>
        </w:rPr>
        <w:t xml:space="preserve">©</w:t>
      </w:r>
      <w:r/>
    </w:p>
    <w:sectPr>
      <w:footerReference w:type="default" r:id="rId11"/>
      <w:footnotePr/>
      <w:endnotePr/>
      <w:type w:val="nextPage"/>
      <w:pgSz w:h="15840" w:orient="portrait" w:w="12240"/>
      <w:pgMar w:top="1440" w:right="271" w:bottom="1440" w:left="1711" w:header="130" w:footer="101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Demi">
    <w:panose1 w:val="020B06030308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86"/>
      <w:tblW w:w="0" w:type="auto"/>
      <w:tblBorders/>
      <w:tblLayout w:type="fixed"/>
      <w:tblLook w:val="06A0" w:firstRow="1" w:lastRow="0" w:firstColumn="1" w:lastColumn="0" w:noHBand="1" w:noVBand="1"/>
    </w:tblPr>
    <w:tblGrid>
      <w:gridCol w:w="3530"/>
      <w:gridCol w:w="3530"/>
      <w:gridCol w:w="3530"/>
    </w:tblGrid>
    <w:tr>
      <w:trPr>
        <w:trHeight w:val="300"/>
      </w:trPr>
      <w:tc>
        <w:tcPr>
          <w:tcBorders/>
          <w:tcW w:w="3530" w:type="dxa"/>
          <w:textDirection w:val="lrTb"/>
          <w:noWrap w:val="false"/>
        </w:tcPr>
        <w:p>
          <w:pPr>
            <w:pStyle w:val="788"/>
            <w:pBdr/>
            <w:bidi w:val="false"/>
            <w:spacing/>
            <w:ind w:left="-115"/>
            <w:jc w:val="left"/>
            <w:rPr/>
          </w:pPr>
          <w:r/>
          <w:r/>
        </w:p>
      </w:tc>
      <w:tc>
        <w:tcPr>
          <w:tcBorders/>
          <w:tcW w:w="3530" w:type="dxa"/>
          <w:textDirection w:val="lrTb"/>
          <w:noWrap w:val="false"/>
        </w:tcPr>
        <w:p>
          <w:pPr>
            <w:pStyle w:val="788"/>
            <w:pBdr/>
            <w:bidi w:val="false"/>
            <w:spacing/>
            <w:ind/>
            <w:jc w:val="center"/>
            <w:rPr/>
          </w:pPr>
          <w:r/>
          <w:r/>
        </w:p>
      </w:tc>
      <w:tc>
        <w:tcPr>
          <w:tcBorders/>
          <w:tcW w:w="3530" w:type="dxa"/>
          <w:textDirection w:val="lrTb"/>
          <w:noWrap w:val="false"/>
        </w:tcPr>
        <w:p>
          <w:pPr>
            <w:pStyle w:val="788"/>
            <w:pBdr/>
            <w:bidi w:val="false"/>
            <w:spacing/>
            <w:ind w:right="-115"/>
            <w:jc w:val="right"/>
            <w:rPr/>
          </w:pPr>
          <w:r/>
          <w:r/>
        </w:p>
      </w:tc>
    </w:tr>
  </w:tbl>
  <w:p>
    <w:pPr>
      <w:pStyle w:val="789"/>
      <w:pBdr/>
      <w:bidi w:val="false"/>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86"/>
      <w:tblW w:w="0" w:type="auto"/>
      <w:tblBorders/>
      <w:tblLayout w:type="fixed"/>
      <w:tblLook w:val="06A0" w:firstRow="1" w:lastRow="0" w:firstColumn="1" w:lastColumn="0" w:noHBand="1" w:noVBand="1"/>
    </w:tblPr>
    <w:tblGrid>
      <w:gridCol w:w="3415"/>
      <w:gridCol w:w="3415"/>
      <w:gridCol w:w="3415"/>
    </w:tblGrid>
    <w:tr>
      <w:trPr>
        <w:trHeight w:val="300"/>
      </w:trPr>
      <w:tc>
        <w:tcPr>
          <w:tcBorders/>
          <w:tcW w:w="3415" w:type="dxa"/>
          <w:textDirection w:val="lrTb"/>
          <w:noWrap w:val="false"/>
        </w:tcPr>
        <w:p>
          <w:pPr>
            <w:pStyle w:val="788"/>
            <w:pBdr/>
            <w:bidi w:val="false"/>
            <w:spacing/>
            <w:ind w:left="-115"/>
            <w:jc w:val="left"/>
            <w:rPr/>
          </w:pPr>
          <w:r/>
          <w:r/>
        </w:p>
      </w:tc>
      <w:tc>
        <w:tcPr>
          <w:tcBorders/>
          <w:tcW w:w="3415" w:type="dxa"/>
          <w:textDirection w:val="lrTb"/>
          <w:noWrap w:val="false"/>
        </w:tcPr>
        <w:p>
          <w:pPr>
            <w:pStyle w:val="788"/>
            <w:pBdr/>
            <w:bidi w:val="false"/>
            <w:spacing/>
            <w:ind/>
            <w:jc w:val="center"/>
            <w:rPr/>
          </w:pPr>
          <w:r/>
          <w:r/>
        </w:p>
      </w:tc>
      <w:tc>
        <w:tcPr>
          <w:tcBorders/>
          <w:tcW w:w="3415" w:type="dxa"/>
          <w:textDirection w:val="lrTb"/>
          <w:noWrap w:val="false"/>
        </w:tcPr>
        <w:p>
          <w:pPr>
            <w:pStyle w:val="788"/>
            <w:pBdr/>
            <w:bidi w:val="false"/>
            <w:spacing/>
            <w:ind w:right="-115"/>
            <w:jc w:val="right"/>
            <w:rPr/>
          </w:pPr>
          <w:r/>
          <w:r/>
        </w:p>
      </w:tc>
    </w:tr>
  </w:tbl>
  <w:p>
    <w:pPr>
      <w:pStyle w:val="789"/>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617"/>
      </w:pPr>
      <w:rPr>
        <w:rFonts w:ascii="Arial" w:hAnsi="Arial" w:eastAsia="Arial" w:cs="Arial"/>
        <w:b w:val="0"/>
        <w:i w:val="0"/>
        <w:strike w:val="0"/>
        <w:color w:val="000000"/>
        <w:sz w:val="22"/>
        <w:szCs w:val="22"/>
        <w:u w:val="none"/>
        <w:shd w:val="clear" w:color="auto" w:fill="auto"/>
        <w:vertAlign w:val="baseline"/>
      </w:rPr>
      <w:start w:val="10"/>
      <w:suff w:val="tab"/>
    </w:lvl>
    <w:lvl w:ilvl="1">
      <w:isLgl w:val="false"/>
      <w:lvlJc w:val="left"/>
      <w:lvlText w:val="%2"/>
      <w:numFmt w:val="lowerLetter"/>
      <w:pPr>
        <w:pBdr/>
        <w:spacing/>
        <w:ind w:left="1199"/>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19"/>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39"/>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59"/>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79"/>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799"/>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19"/>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39"/>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
    <w:lvl w:ilvl="0">
      <w:isLgl w:val="false"/>
      <w:lvlJc w:val="left"/>
      <w:lvlText w:val="%1."/>
      <w:numFmt w:val="decimal"/>
      <w:pPr>
        <w:pBdr/>
        <w:spacing/>
        <w:ind w:left="61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11"/>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31"/>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51"/>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71"/>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91"/>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11"/>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31"/>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51"/>
      </w:pPr>
      <w:rPr>
        <w:rFonts w:ascii="Arial" w:hAnsi="Arial" w:eastAsia="Arial" w:cs="Arial"/>
        <w:b w:val="0"/>
        <w:i w:val="0"/>
        <w:strike w:val="0"/>
        <w:color w:val="000000"/>
        <w:sz w:val="22"/>
        <w:szCs w:val="22"/>
        <w:u w:val="none"/>
        <w:shd w:val="clear" w:color="auto" w:fill="auto"/>
        <w:vertAlign w:val="baseline"/>
      </w:rPr>
      <w:start w:val="1"/>
      <w:suff w:val="tab"/>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CA" w:eastAsia="en-CA"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8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8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8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8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8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8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8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8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8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8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8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8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8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8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8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8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8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8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8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8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8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8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8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8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8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8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8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8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8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8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8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8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8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8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8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8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8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8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8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8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8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8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8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8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8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8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8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8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8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8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8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8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8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8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78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78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78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78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78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8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8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8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8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8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8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8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8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784"/>
    <w:next w:val="784"/>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784"/>
    <w:next w:val="784"/>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84"/>
    <w:next w:val="784"/>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84"/>
    <w:next w:val="78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84"/>
    <w:next w:val="78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84"/>
    <w:next w:val="78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84"/>
    <w:next w:val="78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84"/>
    <w:next w:val="78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84"/>
    <w:next w:val="78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85"/>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785"/>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85"/>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85"/>
    <w:link w:val="141"/>
    <w:uiPriority w:val="9"/>
    <w:pPr>
      <w:pBdr/>
      <w:spacing/>
      <w:ind/>
    </w:pPr>
    <w:rPr>
      <w:rFonts w:ascii="Arial" w:hAnsi="Arial" w:eastAsia="Arial" w:cs="Arial"/>
      <w:i/>
      <w:iCs/>
      <w:color w:val="0f4761" w:themeColor="accent1" w:themeShade="BF"/>
    </w:rPr>
  </w:style>
  <w:style w:type="character" w:styleId="153">
    <w:name w:val="Heading 5 Char"/>
    <w:basedOn w:val="785"/>
    <w:link w:val="142"/>
    <w:uiPriority w:val="9"/>
    <w:pPr>
      <w:pBdr/>
      <w:spacing/>
      <w:ind/>
    </w:pPr>
    <w:rPr>
      <w:rFonts w:ascii="Arial" w:hAnsi="Arial" w:eastAsia="Arial" w:cs="Arial"/>
      <w:color w:val="0f4761" w:themeColor="accent1" w:themeShade="BF"/>
    </w:rPr>
  </w:style>
  <w:style w:type="character" w:styleId="154">
    <w:name w:val="Heading 6 Char"/>
    <w:basedOn w:val="785"/>
    <w:link w:val="143"/>
    <w:uiPriority w:val="9"/>
    <w:pPr>
      <w:pBdr/>
      <w:spacing/>
      <w:ind/>
    </w:pPr>
    <w:rPr>
      <w:rFonts w:ascii="Arial" w:hAnsi="Arial" w:eastAsia="Arial" w:cs="Arial"/>
      <w:i/>
      <w:iCs/>
      <w:color w:val="595959" w:themeColor="text1" w:themeTint="A6"/>
    </w:rPr>
  </w:style>
  <w:style w:type="character" w:styleId="155">
    <w:name w:val="Heading 7 Char"/>
    <w:basedOn w:val="785"/>
    <w:link w:val="144"/>
    <w:uiPriority w:val="9"/>
    <w:pPr>
      <w:pBdr/>
      <w:spacing/>
      <w:ind/>
    </w:pPr>
    <w:rPr>
      <w:rFonts w:ascii="Arial" w:hAnsi="Arial" w:eastAsia="Arial" w:cs="Arial"/>
      <w:color w:val="595959" w:themeColor="text1" w:themeTint="A6"/>
    </w:rPr>
  </w:style>
  <w:style w:type="character" w:styleId="156">
    <w:name w:val="Heading 8 Char"/>
    <w:basedOn w:val="785"/>
    <w:link w:val="145"/>
    <w:uiPriority w:val="9"/>
    <w:pPr>
      <w:pBdr/>
      <w:spacing/>
      <w:ind/>
    </w:pPr>
    <w:rPr>
      <w:rFonts w:ascii="Arial" w:hAnsi="Arial" w:eastAsia="Arial" w:cs="Arial"/>
      <w:i/>
      <w:iCs/>
      <w:color w:val="272727" w:themeColor="text1" w:themeTint="D8"/>
    </w:rPr>
  </w:style>
  <w:style w:type="character" w:styleId="157">
    <w:name w:val="Heading 9 Char"/>
    <w:basedOn w:val="785"/>
    <w:link w:val="146"/>
    <w:uiPriority w:val="9"/>
    <w:pPr>
      <w:pBdr/>
      <w:spacing/>
      <w:ind/>
    </w:pPr>
    <w:rPr>
      <w:rFonts w:ascii="Arial" w:hAnsi="Arial" w:eastAsia="Arial" w:cs="Arial"/>
      <w:i/>
      <w:iCs/>
      <w:color w:val="272727" w:themeColor="text1" w:themeTint="D8"/>
    </w:rPr>
  </w:style>
  <w:style w:type="paragraph" w:styleId="158">
    <w:name w:val="Title"/>
    <w:basedOn w:val="784"/>
    <w:next w:val="78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85"/>
    <w:link w:val="158"/>
    <w:uiPriority w:val="10"/>
    <w:pPr>
      <w:pBdr/>
      <w:spacing/>
      <w:ind/>
    </w:pPr>
    <w:rPr>
      <w:rFonts w:ascii="Arial" w:hAnsi="Arial" w:eastAsia="Arial" w:cs="Arial"/>
      <w:spacing w:val="-10"/>
      <w:sz w:val="56"/>
      <w:szCs w:val="56"/>
    </w:rPr>
  </w:style>
  <w:style w:type="paragraph" w:styleId="160">
    <w:name w:val="Subtitle"/>
    <w:basedOn w:val="784"/>
    <w:next w:val="784"/>
    <w:link w:val="161"/>
    <w:uiPriority w:val="11"/>
    <w:qFormat/>
    <w:pPr>
      <w:numPr>
        <w:ilvl w:val="1"/>
      </w:numPr>
      <w:pBdr/>
      <w:spacing/>
      <w:ind/>
    </w:pPr>
    <w:rPr>
      <w:color w:val="595959" w:themeColor="text1" w:themeTint="A6"/>
      <w:spacing w:val="15"/>
      <w:sz w:val="28"/>
      <w:szCs w:val="28"/>
    </w:rPr>
  </w:style>
  <w:style w:type="character" w:styleId="161">
    <w:name w:val="Subtitle Char"/>
    <w:basedOn w:val="785"/>
    <w:link w:val="160"/>
    <w:uiPriority w:val="11"/>
    <w:pPr>
      <w:pBdr/>
      <w:spacing/>
      <w:ind/>
    </w:pPr>
    <w:rPr>
      <w:color w:val="595959" w:themeColor="text1" w:themeTint="A6"/>
      <w:spacing w:val="15"/>
      <w:sz w:val="28"/>
      <w:szCs w:val="28"/>
    </w:rPr>
  </w:style>
  <w:style w:type="paragraph" w:styleId="162">
    <w:name w:val="Quote"/>
    <w:basedOn w:val="784"/>
    <w:next w:val="784"/>
    <w:link w:val="163"/>
    <w:uiPriority w:val="29"/>
    <w:qFormat/>
    <w:pPr>
      <w:pBdr/>
      <w:spacing w:before="160"/>
      <w:ind/>
      <w:jc w:val="center"/>
    </w:pPr>
    <w:rPr>
      <w:i/>
      <w:iCs/>
      <w:color w:val="404040" w:themeColor="text1" w:themeTint="BF"/>
    </w:rPr>
  </w:style>
  <w:style w:type="character" w:styleId="163">
    <w:name w:val="Quote Char"/>
    <w:basedOn w:val="785"/>
    <w:link w:val="162"/>
    <w:uiPriority w:val="29"/>
    <w:pPr>
      <w:pBdr/>
      <w:spacing/>
      <w:ind/>
    </w:pPr>
    <w:rPr>
      <w:i/>
      <w:iCs/>
      <w:color w:val="404040" w:themeColor="text1" w:themeTint="BF"/>
    </w:rPr>
  </w:style>
  <w:style w:type="paragraph" w:styleId="164">
    <w:name w:val="List Paragraph"/>
    <w:basedOn w:val="784"/>
    <w:uiPriority w:val="34"/>
    <w:qFormat/>
    <w:pPr>
      <w:pBdr/>
      <w:spacing/>
      <w:ind w:left="720"/>
      <w:contextualSpacing w:val="true"/>
    </w:pPr>
  </w:style>
  <w:style w:type="character" w:styleId="165">
    <w:name w:val="Intense Emphasis"/>
    <w:basedOn w:val="785"/>
    <w:uiPriority w:val="21"/>
    <w:qFormat/>
    <w:pPr>
      <w:pBdr/>
      <w:spacing/>
      <w:ind/>
    </w:pPr>
    <w:rPr>
      <w:i/>
      <w:iCs/>
      <w:color w:val="0f4761" w:themeColor="accent1" w:themeShade="BF"/>
    </w:rPr>
  </w:style>
  <w:style w:type="paragraph" w:styleId="166">
    <w:name w:val="Intense Quote"/>
    <w:basedOn w:val="784"/>
    <w:next w:val="78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85"/>
    <w:link w:val="166"/>
    <w:uiPriority w:val="30"/>
    <w:pPr>
      <w:pBdr/>
      <w:spacing/>
      <w:ind/>
    </w:pPr>
    <w:rPr>
      <w:i/>
      <w:iCs/>
      <w:color w:val="0f4761" w:themeColor="accent1" w:themeShade="BF"/>
    </w:rPr>
  </w:style>
  <w:style w:type="character" w:styleId="168">
    <w:name w:val="Intense Reference"/>
    <w:basedOn w:val="785"/>
    <w:uiPriority w:val="32"/>
    <w:qFormat/>
    <w:pPr>
      <w:pBdr/>
      <w:spacing/>
      <w:ind/>
    </w:pPr>
    <w:rPr>
      <w:b/>
      <w:bCs/>
      <w:smallCaps/>
      <w:color w:val="0f4761" w:themeColor="accent1" w:themeShade="BF"/>
      <w:spacing w:val="5"/>
    </w:rPr>
  </w:style>
  <w:style w:type="paragraph" w:styleId="169">
    <w:name w:val="No Spacing"/>
    <w:basedOn w:val="784"/>
    <w:uiPriority w:val="1"/>
    <w:qFormat/>
    <w:pPr>
      <w:pBdr/>
      <w:spacing w:after="0" w:line="240" w:lineRule="auto"/>
      <w:ind/>
    </w:pPr>
  </w:style>
  <w:style w:type="character" w:styleId="170">
    <w:name w:val="Subtle Emphasis"/>
    <w:basedOn w:val="785"/>
    <w:uiPriority w:val="19"/>
    <w:qFormat/>
    <w:pPr>
      <w:pBdr/>
      <w:spacing/>
      <w:ind/>
    </w:pPr>
    <w:rPr>
      <w:i/>
      <w:iCs/>
      <w:color w:val="404040" w:themeColor="text1" w:themeTint="BF"/>
    </w:rPr>
  </w:style>
  <w:style w:type="character" w:styleId="171">
    <w:name w:val="Emphasis"/>
    <w:basedOn w:val="785"/>
    <w:uiPriority w:val="20"/>
    <w:qFormat/>
    <w:pPr>
      <w:pBdr/>
      <w:spacing/>
      <w:ind/>
    </w:pPr>
    <w:rPr>
      <w:i/>
      <w:iCs/>
    </w:rPr>
  </w:style>
  <w:style w:type="character" w:styleId="172">
    <w:name w:val="Strong"/>
    <w:basedOn w:val="785"/>
    <w:uiPriority w:val="22"/>
    <w:qFormat/>
    <w:pPr>
      <w:pBdr/>
      <w:spacing/>
      <w:ind/>
    </w:pPr>
    <w:rPr>
      <w:b/>
      <w:bCs/>
    </w:rPr>
  </w:style>
  <w:style w:type="character" w:styleId="173">
    <w:name w:val="Subtle Reference"/>
    <w:basedOn w:val="785"/>
    <w:uiPriority w:val="31"/>
    <w:qFormat/>
    <w:pPr>
      <w:pBdr/>
      <w:spacing/>
      <w:ind/>
    </w:pPr>
    <w:rPr>
      <w:smallCaps/>
      <w:color w:val="5a5a5a" w:themeColor="text1" w:themeTint="A5"/>
    </w:rPr>
  </w:style>
  <w:style w:type="character" w:styleId="174">
    <w:name w:val="Book Title"/>
    <w:basedOn w:val="785"/>
    <w:uiPriority w:val="33"/>
    <w:qFormat/>
    <w:pPr>
      <w:pBdr/>
      <w:spacing/>
      <w:ind/>
    </w:pPr>
    <w:rPr>
      <w:b/>
      <w:bCs/>
      <w:i/>
      <w:iCs/>
      <w:spacing w:val="5"/>
    </w:rPr>
  </w:style>
  <w:style w:type="character" w:styleId="176">
    <w:name w:val="Header Char"/>
    <w:basedOn w:val="785"/>
    <w:link w:val="788"/>
    <w:uiPriority w:val="99"/>
    <w:pPr>
      <w:pBdr/>
      <w:spacing/>
      <w:ind/>
    </w:pPr>
  </w:style>
  <w:style w:type="character" w:styleId="178">
    <w:name w:val="Footer Char"/>
    <w:basedOn w:val="785"/>
    <w:link w:val="789"/>
    <w:uiPriority w:val="99"/>
    <w:pPr>
      <w:pBdr/>
      <w:spacing/>
      <w:ind/>
    </w:pPr>
  </w:style>
  <w:style w:type="paragraph" w:styleId="179">
    <w:name w:val="Caption"/>
    <w:basedOn w:val="784"/>
    <w:next w:val="784"/>
    <w:uiPriority w:val="35"/>
    <w:unhideWhenUsed/>
    <w:qFormat/>
    <w:pPr>
      <w:pBdr/>
      <w:spacing w:after="200" w:line="240" w:lineRule="auto"/>
      <w:ind/>
    </w:pPr>
    <w:rPr>
      <w:i/>
      <w:iCs/>
      <w:color w:val="0e2841" w:themeColor="text2"/>
      <w:sz w:val="18"/>
      <w:szCs w:val="18"/>
    </w:rPr>
  </w:style>
  <w:style w:type="paragraph" w:styleId="180">
    <w:name w:val="footnote text"/>
    <w:basedOn w:val="784"/>
    <w:link w:val="181"/>
    <w:uiPriority w:val="99"/>
    <w:semiHidden/>
    <w:unhideWhenUsed/>
    <w:pPr>
      <w:pBdr/>
      <w:spacing w:after="0" w:line="240" w:lineRule="auto"/>
      <w:ind/>
    </w:pPr>
    <w:rPr>
      <w:sz w:val="20"/>
      <w:szCs w:val="20"/>
    </w:rPr>
  </w:style>
  <w:style w:type="character" w:styleId="181">
    <w:name w:val="Footnote Text Char"/>
    <w:basedOn w:val="785"/>
    <w:link w:val="180"/>
    <w:uiPriority w:val="99"/>
    <w:semiHidden/>
    <w:pPr>
      <w:pBdr/>
      <w:spacing/>
      <w:ind/>
    </w:pPr>
    <w:rPr>
      <w:sz w:val="20"/>
      <w:szCs w:val="20"/>
    </w:rPr>
  </w:style>
  <w:style w:type="character" w:styleId="182">
    <w:name w:val="footnote reference"/>
    <w:basedOn w:val="785"/>
    <w:uiPriority w:val="99"/>
    <w:semiHidden/>
    <w:unhideWhenUsed/>
    <w:pPr>
      <w:pBdr/>
      <w:spacing/>
      <w:ind/>
    </w:pPr>
    <w:rPr>
      <w:vertAlign w:val="superscript"/>
    </w:rPr>
  </w:style>
  <w:style w:type="paragraph" w:styleId="183">
    <w:name w:val="endnote text"/>
    <w:basedOn w:val="784"/>
    <w:link w:val="184"/>
    <w:uiPriority w:val="99"/>
    <w:semiHidden/>
    <w:unhideWhenUsed/>
    <w:pPr>
      <w:pBdr/>
      <w:spacing w:after="0" w:line="240" w:lineRule="auto"/>
      <w:ind/>
    </w:pPr>
    <w:rPr>
      <w:sz w:val="20"/>
      <w:szCs w:val="20"/>
    </w:rPr>
  </w:style>
  <w:style w:type="character" w:styleId="184">
    <w:name w:val="Endnote Text Char"/>
    <w:basedOn w:val="785"/>
    <w:link w:val="183"/>
    <w:uiPriority w:val="99"/>
    <w:semiHidden/>
    <w:pPr>
      <w:pBdr/>
      <w:spacing/>
      <w:ind/>
    </w:pPr>
    <w:rPr>
      <w:sz w:val="20"/>
      <w:szCs w:val="20"/>
    </w:rPr>
  </w:style>
  <w:style w:type="character" w:styleId="185">
    <w:name w:val="endnote reference"/>
    <w:basedOn w:val="785"/>
    <w:uiPriority w:val="99"/>
    <w:semiHidden/>
    <w:unhideWhenUsed/>
    <w:pPr>
      <w:pBdr/>
      <w:spacing/>
      <w:ind/>
    </w:pPr>
    <w:rPr>
      <w:vertAlign w:val="superscript"/>
    </w:rPr>
  </w:style>
  <w:style w:type="character" w:styleId="186">
    <w:name w:val="Hyperlink"/>
    <w:basedOn w:val="785"/>
    <w:uiPriority w:val="99"/>
    <w:unhideWhenUsed/>
    <w:pPr>
      <w:pBdr/>
      <w:spacing/>
      <w:ind/>
    </w:pPr>
    <w:rPr>
      <w:color w:val="0563c1" w:themeColor="hyperlink"/>
      <w:u w:val="single"/>
    </w:rPr>
  </w:style>
  <w:style w:type="character" w:styleId="187">
    <w:name w:val="FollowedHyperlink"/>
    <w:basedOn w:val="785"/>
    <w:uiPriority w:val="99"/>
    <w:semiHidden/>
    <w:unhideWhenUsed/>
    <w:pPr>
      <w:pBdr/>
      <w:spacing/>
      <w:ind/>
    </w:pPr>
    <w:rPr>
      <w:color w:val="954f72" w:themeColor="followedHyperlink"/>
      <w:u w:val="single"/>
    </w:rPr>
  </w:style>
  <w:style w:type="paragraph" w:styleId="188">
    <w:name w:val="toc 1"/>
    <w:basedOn w:val="784"/>
    <w:next w:val="784"/>
    <w:uiPriority w:val="39"/>
    <w:unhideWhenUsed/>
    <w:pPr>
      <w:pBdr/>
      <w:spacing w:after="100"/>
      <w:ind/>
    </w:pPr>
  </w:style>
  <w:style w:type="paragraph" w:styleId="189">
    <w:name w:val="toc 2"/>
    <w:basedOn w:val="784"/>
    <w:next w:val="784"/>
    <w:uiPriority w:val="39"/>
    <w:unhideWhenUsed/>
    <w:pPr>
      <w:pBdr/>
      <w:spacing w:after="100"/>
      <w:ind w:left="220"/>
    </w:pPr>
  </w:style>
  <w:style w:type="paragraph" w:styleId="190">
    <w:name w:val="toc 3"/>
    <w:basedOn w:val="784"/>
    <w:next w:val="784"/>
    <w:uiPriority w:val="39"/>
    <w:unhideWhenUsed/>
    <w:pPr>
      <w:pBdr/>
      <w:spacing w:after="100"/>
      <w:ind w:left="440"/>
    </w:pPr>
  </w:style>
  <w:style w:type="paragraph" w:styleId="191">
    <w:name w:val="toc 4"/>
    <w:basedOn w:val="784"/>
    <w:next w:val="784"/>
    <w:uiPriority w:val="39"/>
    <w:unhideWhenUsed/>
    <w:pPr>
      <w:pBdr/>
      <w:spacing w:after="100"/>
      <w:ind w:left="660"/>
    </w:pPr>
  </w:style>
  <w:style w:type="paragraph" w:styleId="192">
    <w:name w:val="toc 5"/>
    <w:basedOn w:val="784"/>
    <w:next w:val="784"/>
    <w:uiPriority w:val="39"/>
    <w:unhideWhenUsed/>
    <w:pPr>
      <w:pBdr/>
      <w:spacing w:after="100"/>
      <w:ind w:left="880"/>
    </w:pPr>
  </w:style>
  <w:style w:type="paragraph" w:styleId="193">
    <w:name w:val="toc 6"/>
    <w:basedOn w:val="784"/>
    <w:next w:val="784"/>
    <w:uiPriority w:val="39"/>
    <w:unhideWhenUsed/>
    <w:pPr>
      <w:pBdr/>
      <w:spacing w:after="100"/>
      <w:ind w:left="1100"/>
    </w:pPr>
  </w:style>
  <w:style w:type="paragraph" w:styleId="194">
    <w:name w:val="toc 7"/>
    <w:basedOn w:val="784"/>
    <w:next w:val="784"/>
    <w:uiPriority w:val="39"/>
    <w:unhideWhenUsed/>
    <w:pPr>
      <w:pBdr/>
      <w:spacing w:after="100"/>
      <w:ind w:left="1320"/>
    </w:pPr>
  </w:style>
  <w:style w:type="paragraph" w:styleId="195">
    <w:name w:val="toc 8"/>
    <w:basedOn w:val="784"/>
    <w:next w:val="784"/>
    <w:uiPriority w:val="39"/>
    <w:unhideWhenUsed/>
    <w:pPr>
      <w:pBdr/>
      <w:spacing w:after="100"/>
      <w:ind w:left="1540"/>
    </w:pPr>
  </w:style>
  <w:style w:type="paragraph" w:styleId="196">
    <w:name w:val="toc 9"/>
    <w:basedOn w:val="784"/>
    <w:next w:val="78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84"/>
    <w:next w:val="784"/>
    <w:uiPriority w:val="99"/>
    <w:unhideWhenUsed/>
    <w:pPr>
      <w:pBdr/>
      <w:spacing w:after="0" w:afterAutospacing="0"/>
      <w:ind/>
    </w:pPr>
  </w:style>
  <w:style w:type="paragraph" w:styleId="784" w:default="1">
    <w:name w:val="Normal"/>
    <w:qFormat/>
    <w:pPr>
      <w:pBdr/>
      <w:spacing w:after="246" w:line="270" w:lineRule="auto"/>
      <w:ind w:hanging="10" w:left="11"/>
    </w:pPr>
    <w:rPr>
      <w:rFonts w:ascii="Arial" w:hAnsi="Arial" w:eastAsia="Arial" w:cs="Arial"/>
      <w:color w:val="000000"/>
      <w:sz w:val="22"/>
    </w:rPr>
  </w:style>
  <w:style w:type="character" w:styleId="785" w:default="1">
    <w:name w:val="Default Paragraph Font"/>
    <w:uiPriority w:val="1"/>
    <w:semiHidden/>
    <w:unhideWhenUsed/>
    <w:pPr>
      <w:pBdr/>
      <w:spacing/>
      <w:ind/>
    </w:pPr>
  </w:style>
  <w:style w:type="table" w:styleId="78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7" w:default="1">
    <w:name w:val="No List"/>
    <w:uiPriority w:val="99"/>
    <w:semiHidden/>
    <w:unhideWhenUsed/>
    <w:pPr>
      <w:pBdr/>
      <w:spacing/>
      <w:ind/>
    </w:pPr>
  </w:style>
  <w:style w:type="paragraph" w:styleId="788">
    <w:name w:val="Header"/>
    <w:basedOn w:val="784"/>
    <w:uiPriority w:val="99"/>
    <w:unhideWhenUsed/>
    <w:pPr>
      <w:pBdr/>
      <w:tabs>
        <w:tab w:val="center" w:leader="none" w:pos="4680"/>
        <w:tab w:val="right" w:leader="none" w:pos="9360"/>
      </w:tabs>
      <w:spacing w:after="0"/>
      <w:ind/>
    </w:pPr>
  </w:style>
  <w:style w:type="paragraph" w:styleId="789">
    <w:name w:val="Footer"/>
    <w:basedOn w:val="784"/>
    <w:uiPriority w:val="99"/>
    <w:unhideWhenUsed/>
    <w:pPr>
      <w:pBdr/>
      <w:tabs>
        <w:tab w:val="center" w:leader="none" w:pos="4680"/>
        <w:tab w:val="right" w:leader="none" w:pos="9360"/>
      </w:tabs>
      <w:spacing w:after="0"/>
      <w:ind/>
    </w:pPr>
  </w:style>
  <w:style w:type="table" w:styleId="790">
    <w:name w:val="Table Grid"/>
    <w:basedOn w:val="786"/>
    <w:uiPriority w:val="59"/>
    <w:pPr>
      <w:pBdr/>
      <w:spacing w:after="0" w:line="240" w:lineRule="auto"/>
      <w:ind/>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454751-F643-4AC7-AC71-E56B8E0DF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96341-F1ED-48C2-B52F-66708F5131AE}">
  <ds:schemaRefs>
    <ds:schemaRef ds:uri="http://schemas.microsoft.com/sharepoint/v3/contenttype/forms"/>
  </ds:schemaRefs>
</ds:datastoreItem>
</file>

<file path=customXml/itemProps3.xml><?xml version="1.0" encoding="utf-8"?>
<ds:datastoreItem xmlns:ds="http://schemas.openxmlformats.org/officeDocument/2006/customXml" ds:itemID="{9CAB31CE-E5B5-4D03-9B5A-B9668F106F2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2025-07-01T18:14:14Z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