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361" w:rsidRDefault="00752361">
      <w:pPr>
        <w:spacing w:after="223" w:line="259" w:lineRule="auto"/>
        <w:ind w:left="64" w:right="2"/>
        <w:jc w:val="center"/>
        <w:rPr>
          <w:b/>
          <w:sz w:val="28"/>
          <w:u w:val="single"/>
        </w:rPr>
      </w:pPr>
    </w:p>
    <w:p w:rsidR="001168A8" w:rsidRDefault="00B469F5">
      <w:pPr>
        <w:spacing w:after="223" w:line="259" w:lineRule="auto"/>
        <w:ind w:left="64" w:right="2"/>
        <w:jc w:val="center"/>
      </w:pPr>
      <w:r>
        <w:rPr>
          <w:b/>
          <w:sz w:val="28"/>
          <w:u w:val="single"/>
        </w:rPr>
        <w:t>ANPH 202 Outcome</w:t>
      </w:r>
      <w:r>
        <w:rPr>
          <w:b/>
          <w:sz w:val="28"/>
        </w:rPr>
        <w:t xml:space="preserve">  5</w:t>
      </w:r>
    </w:p>
    <w:p w:rsidR="001168A8" w:rsidRDefault="00B469F5">
      <w:pPr>
        <w:spacing w:after="182" w:line="259" w:lineRule="auto"/>
        <w:ind w:left="64"/>
        <w:jc w:val="center"/>
      </w:pPr>
      <w:r>
        <w:rPr>
          <w:b/>
          <w:sz w:val="28"/>
          <w:u w:val="single"/>
        </w:rPr>
        <w:t xml:space="preserve"> Worksheet - Lymphatic and Immune – ANSWER KEY</w:t>
      </w:r>
    </w:p>
    <w:p w:rsidR="001168A8" w:rsidRDefault="00B469F5">
      <w:pPr>
        <w:spacing w:after="221" w:line="259" w:lineRule="auto"/>
        <w:ind w:left="36" w:firstLine="0"/>
      </w:pPr>
      <w:r>
        <w:t xml:space="preserve"> </w:t>
      </w:r>
    </w:p>
    <w:p w:rsidR="001168A8" w:rsidRDefault="00B469F5">
      <w:pPr>
        <w:numPr>
          <w:ilvl w:val="0"/>
          <w:numId w:val="1"/>
        </w:numPr>
        <w:ind w:hanging="521"/>
      </w:pPr>
      <w:r>
        <w:t xml:space="preserve">Explain the main function of the lymphatic system. </w:t>
      </w:r>
      <w:r>
        <w:rPr>
          <w:color w:val="FF0000"/>
        </w:rPr>
        <w:t xml:space="preserve">It collects and filters interstitial fluid that has leaked into the tissues and returns it to the blood stream to maintain blood volume. </w:t>
      </w:r>
    </w:p>
    <w:p w:rsidR="001168A8" w:rsidRDefault="00B469F5">
      <w:pPr>
        <w:numPr>
          <w:ilvl w:val="0"/>
          <w:numId w:val="1"/>
        </w:numPr>
        <w:ind w:hanging="521"/>
      </w:pPr>
      <w:r>
        <w:t xml:space="preserve">An infection can spread to other locations in the body through the lymphatic system. </w:t>
      </w:r>
      <w:r>
        <w:rPr>
          <w:color w:val="FF0000"/>
        </w:rPr>
        <w:t xml:space="preserve">True </w:t>
      </w:r>
      <w:r>
        <w:t xml:space="preserve"> </w:t>
      </w:r>
    </w:p>
    <w:p w:rsidR="001168A8" w:rsidRDefault="00B469F5">
      <w:pPr>
        <w:numPr>
          <w:ilvl w:val="0"/>
          <w:numId w:val="1"/>
        </w:numPr>
        <w:ind w:hanging="521"/>
      </w:pPr>
      <w:r>
        <w:t xml:space="preserve">Blockages in the lymphatic system can lead to a build-up of fluid in the interstitial spaces known as </w:t>
      </w:r>
      <w:r>
        <w:rPr>
          <w:color w:val="FF0000"/>
        </w:rPr>
        <w:t>edema</w:t>
      </w:r>
      <w:r>
        <w:t xml:space="preserve"> </w:t>
      </w:r>
    </w:p>
    <w:p w:rsidR="001168A8" w:rsidRDefault="00B469F5">
      <w:pPr>
        <w:numPr>
          <w:ilvl w:val="0"/>
          <w:numId w:val="1"/>
        </w:numPr>
        <w:spacing w:after="198" w:line="276" w:lineRule="auto"/>
        <w:ind w:hanging="521"/>
      </w:pPr>
      <w:r>
        <w:t xml:space="preserve">What are the main functions of lymph nodes? </w:t>
      </w:r>
      <w:r>
        <w:rPr>
          <w:color w:val="FF0000"/>
        </w:rPr>
        <w:t xml:space="preserve">To store developing lymphocytes, and to filter bacteria, cancerous cells, and cellular debris from the body’s lymph, before returning it to the blood stream  </w:t>
      </w:r>
    </w:p>
    <w:p w:rsidR="001168A8" w:rsidRDefault="00B469F5">
      <w:pPr>
        <w:numPr>
          <w:ilvl w:val="0"/>
          <w:numId w:val="1"/>
        </w:numPr>
        <w:ind w:hanging="521"/>
      </w:pPr>
      <w:r>
        <w:t>The largest lymphoid organ in the body is the</w:t>
      </w:r>
      <w:r>
        <w:rPr>
          <w:color w:val="FF0000"/>
        </w:rPr>
        <w:t xml:space="preserve"> spleen </w:t>
      </w:r>
    </w:p>
    <w:p w:rsidR="001168A8" w:rsidRDefault="00B469F5">
      <w:pPr>
        <w:numPr>
          <w:ilvl w:val="0"/>
          <w:numId w:val="1"/>
        </w:numPr>
        <w:ind w:hanging="521"/>
      </w:pPr>
      <w:r>
        <w:t xml:space="preserve">“The spleen filters lymph before returning it to the bloodstream”    T      </w:t>
      </w:r>
      <w:r>
        <w:rPr>
          <w:color w:val="FF0000"/>
        </w:rPr>
        <w:t xml:space="preserve">F   </w:t>
      </w:r>
    </w:p>
    <w:p w:rsidR="001168A8" w:rsidRDefault="00B469F5">
      <w:pPr>
        <w:numPr>
          <w:ilvl w:val="0"/>
          <w:numId w:val="1"/>
        </w:numPr>
        <w:ind w:hanging="521"/>
      </w:pPr>
      <w:r>
        <w:t xml:space="preserve">List the functions of the spleen. </w:t>
      </w:r>
      <w:r>
        <w:rPr>
          <w:color w:val="FF0000"/>
        </w:rPr>
        <w:t xml:space="preserve">1) Cleans </w:t>
      </w:r>
      <w:r>
        <w:rPr>
          <w:b/>
          <w:color w:val="FF0000"/>
          <w:u w:val="single"/>
        </w:rPr>
        <w:t>blood</w:t>
      </w:r>
      <w:r>
        <w:rPr>
          <w:color w:val="FF0000"/>
        </w:rPr>
        <w:t xml:space="preserve"> through filtration and phagocytosis 2) stores monocytes and blood 3) recycles iron and hemoglobin from worn out erythrocytes </w:t>
      </w:r>
    </w:p>
    <w:p w:rsidR="001168A8" w:rsidRDefault="00B469F5">
      <w:pPr>
        <w:numPr>
          <w:ilvl w:val="0"/>
          <w:numId w:val="1"/>
        </w:numPr>
        <w:ind w:hanging="521"/>
      </w:pPr>
      <w:r>
        <w:t xml:space="preserve">The </w:t>
      </w:r>
      <w:r>
        <w:rPr>
          <w:u w:val="single"/>
        </w:rPr>
        <w:t>immune system</w:t>
      </w:r>
      <w:r>
        <w:t xml:space="preserve"> has two basic types of defenses; innate or “non-specific” defenses, and adaptive, or “specific” defenses. Which of these provides the very first line of defense against invading pathogens? </w:t>
      </w:r>
      <w:r>
        <w:rPr>
          <w:color w:val="FF0000"/>
        </w:rPr>
        <w:t>Non specific (innate)</w:t>
      </w:r>
      <w:r>
        <w:t xml:space="preserve"> </w:t>
      </w:r>
    </w:p>
    <w:p w:rsidR="001168A8" w:rsidRDefault="00B469F5">
      <w:pPr>
        <w:numPr>
          <w:ilvl w:val="0"/>
          <w:numId w:val="1"/>
        </w:numPr>
        <w:ind w:hanging="521"/>
      </w:pPr>
      <w:r>
        <w:t xml:space="preserve">List three physical barriers to disease, and give an example of where they are found in the body. </w:t>
      </w:r>
    </w:p>
    <w:p w:rsidR="001168A8" w:rsidRDefault="00B469F5">
      <w:pPr>
        <w:numPr>
          <w:ilvl w:val="1"/>
          <w:numId w:val="1"/>
        </w:numPr>
        <w:ind w:hanging="254"/>
      </w:pPr>
      <w:r>
        <w:rPr>
          <w:color w:val="FF0000"/>
        </w:rPr>
        <w:t xml:space="preserve">ear wax and cilia (ear) </w:t>
      </w:r>
    </w:p>
    <w:p w:rsidR="001168A8" w:rsidRDefault="00B469F5">
      <w:pPr>
        <w:numPr>
          <w:ilvl w:val="1"/>
          <w:numId w:val="1"/>
        </w:numPr>
        <w:ind w:hanging="254"/>
      </w:pPr>
      <w:r>
        <w:rPr>
          <w:color w:val="FF0000"/>
        </w:rPr>
        <w:t xml:space="preserve">mucous membranes in esophagus </w:t>
      </w:r>
    </w:p>
    <w:p w:rsidR="001168A8" w:rsidRDefault="00B469F5">
      <w:pPr>
        <w:numPr>
          <w:ilvl w:val="1"/>
          <w:numId w:val="1"/>
        </w:numPr>
        <w:ind w:hanging="254"/>
      </w:pPr>
      <w:r>
        <w:rPr>
          <w:color w:val="FF0000"/>
        </w:rPr>
        <w:t xml:space="preserve">acidic mucous membranes in stomach </w:t>
      </w:r>
    </w:p>
    <w:p w:rsidR="001168A8" w:rsidRDefault="00B469F5">
      <w:pPr>
        <w:numPr>
          <w:ilvl w:val="0"/>
          <w:numId w:val="1"/>
        </w:numPr>
        <w:spacing w:after="11"/>
        <w:ind w:hanging="521"/>
      </w:pPr>
      <w:r>
        <w:t xml:space="preserve">Phagocytes may remove a microorganism from the body before specific defenses are </w:t>
      </w:r>
    </w:p>
    <w:p w:rsidR="001168A8" w:rsidRDefault="001168A8">
      <w:pPr>
        <w:spacing w:after="219" w:line="259" w:lineRule="auto"/>
        <w:ind w:left="36" w:firstLine="0"/>
      </w:pPr>
      <w:bookmarkStart w:id="0" w:name="_GoBack"/>
      <w:bookmarkEnd w:id="0"/>
    </w:p>
    <w:p w:rsidR="001168A8" w:rsidRDefault="00B469F5">
      <w:pPr>
        <w:spacing w:after="0" w:line="259" w:lineRule="auto"/>
        <w:ind w:left="36" w:firstLine="0"/>
      </w:pPr>
      <w:r>
        <w:t xml:space="preserve"> </w:t>
      </w:r>
    </w:p>
    <w:p w:rsidR="001168A8" w:rsidRDefault="00B469F5">
      <w:pPr>
        <w:spacing w:after="222" w:line="259" w:lineRule="auto"/>
        <w:ind w:left="36" w:firstLine="0"/>
      </w:pPr>
      <w:r>
        <w:t xml:space="preserve"> </w:t>
      </w:r>
    </w:p>
    <w:p w:rsidR="001168A8" w:rsidRDefault="00B469F5">
      <w:pPr>
        <w:numPr>
          <w:ilvl w:val="0"/>
          <w:numId w:val="1"/>
        </w:numPr>
        <w:ind w:hanging="521"/>
      </w:pPr>
      <w:r>
        <w:t xml:space="preserve">Briefly explain the physiology behind the four classic signs of inflammation listed below: </w:t>
      </w:r>
    </w:p>
    <w:p w:rsidR="001168A8" w:rsidRDefault="00B469F5">
      <w:pPr>
        <w:numPr>
          <w:ilvl w:val="1"/>
          <w:numId w:val="1"/>
        </w:numPr>
        <w:ind w:hanging="254"/>
      </w:pPr>
      <w:proofErr w:type="gramStart"/>
      <w:r>
        <w:rPr>
          <w:u w:val="single"/>
        </w:rPr>
        <w:t>red</w:t>
      </w:r>
      <w:proofErr w:type="gramEnd"/>
      <w:r>
        <w:t xml:space="preserve"> -  </w:t>
      </w:r>
      <w:r>
        <w:rPr>
          <w:color w:val="FF0000"/>
        </w:rPr>
        <w:t xml:space="preserve">Redness occurs because blood vessels at the site of the injury </w:t>
      </w:r>
      <w:proofErr w:type="spellStart"/>
      <w:r>
        <w:rPr>
          <w:color w:val="FF0000"/>
        </w:rPr>
        <w:t>vasodilate</w:t>
      </w:r>
      <w:proofErr w:type="spellEnd"/>
      <w:r>
        <w:rPr>
          <w:color w:val="FF0000"/>
        </w:rPr>
        <w:t xml:space="preserve"> to let more blood flow into the area. </w:t>
      </w:r>
    </w:p>
    <w:p w:rsidR="001168A8" w:rsidRDefault="00B469F5">
      <w:pPr>
        <w:numPr>
          <w:ilvl w:val="1"/>
          <w:numId w:val="1"/>
        </w:numPr>
        <w:ind w:hanging="254"/>
      </w:pPr>
      <w:r>
        <w:rPr>
          <w:u w:val="single"/>
        </w:rPr>
        <w:t>swelling</w:t>
      </w:r>
      <w:r>
        <w:t xml:space="preserve"> - </w:t>
      </w:r>
      <w:r>
        <w:rPr>
          <w:color w:val="FF0000"/>
        </w:rPr>
        <w:t xml:space="preserve">The site of inflammation swells as capillaries in the area become more permeable so that nutrient rich blood plasma can leak into the interstitial spaces </w:t>
      </w:r>
    </w:p>
    <w:p w:rsidR="001168A8" w:rsidRDefault="00B469F5">
      <w:pPr>
        <w:numPr>
          <w:ilvl w:val="1"/>
          <w:numId w:val="1"/>
        </w:numPr>
        <w:ind w:hanging="254"/>
      </w:pPr>
      <w:r>
        <w:rPr>
          <w:u w:val="single"/>
        </w:rPr>
        <w:t>heat</w:t>
      </w:r>
      <w:r>
        <w:t xml:space="preserve"> - </w:t>
      </w:r>
      <w:r>
        <w:rPr>
          <w:color w:val="FF0000"/>
        </w:rPr>
        <w:t xml:space="preserve">Redness occurs because blood vessels at the site of the injury </w:t>
      </w:r>
      <w:proofErr w:type="spellStart"/>
      <w:r>
        <w:rPr>
          <w:color w:val="FF0000"/>
        </w:rPr>
        <w:t>vasodilate</w:t>
      </w:r>
      <w:proofErr w:type="spellEnd"/>
      <w:r>
        <w:rPr>
          <w:color w:val="FF0000"/>
        </w:rPr>
        <w:t xml:space="preserve"> to let more blood flow into the area</w:t>
      </w:r>
      <w:r>
        <w:t xml:space="preserve"> </w:t>
      </w:r>
    </w:p>
    <w:p w:rsidR="001168A8" w:rsidRDefault="00B469F5">
      <w:pPr>
        <w:numPr>
          <w:ilvl w:val="1"/>
          <w:numId w:val="1"/>
        </w:numPr>
        <w:ind w:hanging="254"/>
      </w:pPr>
      <w:proofErr w:type="gramStart"/>
      <w:r>
        <w:rPr>
          <w:u w:val="single"/>
        </w:rPr>
        <w:t>pain</w:t>
      </w:r>
      <w:proofErr w:type="gramEnd"/>
      <w:r>
        <w:t xml:space="preserve"> - </w:t>
      </w:r>
      <w:r>
        <w:rPr>
          <w:color w:val="FF0000"/>
        </w:rPr>
        <w:t xml:space="preserve">The extra fluids leaking into the interstitial spaces press on nerve endings and cause pain. </w:t>
      </w:r>
    </w:p>
    <w:p w:rsidR="001168A8" w:rsidRDefault="00B469F5">
      <w:pPr>
        <w:numPr>
          <w:ilvl w:val="0"/>
          <w:numId w:val="1"/>
        </w:numPr>
        <w:ind w:hanging="521"/>
      </w:pPr>
      <w:r>
        <w:t xml:space="preserve">It is common to take an anti-histamine such as Benadryl or Claritin for allergies.  What aspect of the inflammatory response do these drugs control? </w:t>
      </w:r>
      <w:r>
        <w:rPr>
          <w:color w:val="FF0000"/>
        </w:rPr>
        <w:t xml:space="preserve">Histamine is one of various inflammation mediators that are released into the tissues during the inflammatory response. It is a powerful vasodilator that causes an increased amount of blood to reach damaged tissues. An anti-histamine is a drug that limits this naturally occurring vasodilation response. </w:t>
      </w:r>
    </w:p>
    <w:p w:rsidR="001168A8" w:rsidRDefault="00B469F5">
      <w:pPr>
        <w:numPr>
          <w:ilvl w:val="0"/>
          <w:numId w:val="1"/>
        </w:numPr>
        <w:ind w:hanging="521"/>
      </w:pPr>
      <w:r>
        <w:rPr>
          <w:color w:val="FF0000"/>
        </w:rPr>
        <w:t>Pus</w:t>
      </w:r>
      <w:r>
        <w:t xml:space="preserve"> is a collection of white blood cells, dead tissue, bacteria and cell debris.  </w:t>
      </w:r>
    </w:p>
    <w:p w:rsidR="001168A8" w:rsidRDefault="00B469F5">
      <w:pPr>
        <w:spacing w:after="219" w:line="259" w:lineRule="auto"/>
        <w:ind w:left="36" w:firstLine="0"/>
      </w:pPr>
      <w:r>
        <w:t xml:space="preserve"> </w:t>
      </w:r>
    </w:p>
    <w:p w:rsidR="001168A8" w:rsidRDefault="00B469F5">
      <w:pPr>
        <w:numPr>
          <w:ilvl w:val="0"/>
          <w:numId w:val="1"/>
        </w:numPr>
        <w:ind w:hanging="521"/>
      </w:pPr>
      <w:r>
        <w:t xml:space="preserve">A </w:t>
      </w:r>
      <w:r>
        <w:rPr>
          <w:color w:val="FF0000"/>
        </w:rPr>
        <w:t>fever</w:t>
      </w:r>
      <w:r>
        <w:t xml:space="preserve"> occurs when inflammatory mediators send a message to the brain to increase baseline body temperature.  What are the positive metabolic effects of this? </w:t>
      </w:r>
    </w:p>
    <w:p w:rsidR="001168A8" w:rsidRDefault="00B469F5">
      <w:pPr>
        <w:numPr>
          <w:ilvl w:val="1"/>
          <w:numId w:val="3"/>
        </w:numPr>
        <w:ind w:hanging="292"/>
      </w:pPr>
      <w:r>
        <w:rPr>
          <w:color w:val="FF0000"/>
        </w:rPr>
        <w:t xml:space="preserve">pathogens are inhibited or killed </w:t>
      </w:r>
    </w:p>
    <w:p w:rsidR="001168A8" w:rsidRDefault="00B469F5">
      <w:pPr>
        <w:numPr>
          <w:ilvl w:val="1"/>
          <w:numId w:val="3"/>
        </w:numPr>
        <w:ind w:hanging="292"/>
      </w:pPr>
      <w:r>
        <w:rPr>
          <w:color w:val="FF0000"/>
        </w:rPr>
        <w:t xml:space="preserve">immune system processes are enhanced </w:t>
      </w:r>
    </w:p>
    <w:p w:rsidR="001168A8" w:rsidRDefault="00B469F5">
      <w:pPr>
        <w:spacing w:after="221" w:line="259" w:lineRule="auto"/>
        <w:ind w:left="36" w:firstLine="0"/>
      </w:pPr>
      <w:r>
        <w:t xml:space="preserve"> </w:t>
      </w:r>
    </w:p>
    <w:p w:rsidR="001168A8" w:rsidRDefault="00B469F5">
      <w:pPr>
        <w:numPr>
          <w:ilvl w:val="0"/>
          <w:numId w:val="1"/>
        </w:numPr>
        <w:ind w:hanging="521"/>
      </w:pPr>
      <w:r>
        <w:t xml:space="preserve">Describe three significant aspects that distinguish the specific defense system from the non- specific one </w:t>
      </w:r>
    </w:p>
    <w:p w:rsidR="001168A8" w:rsidRDefault="00B469F5">
      <w:pPr>
        <w:numPr>
          <w:ilvl w:val="1"/>
          <w:numId w:val="1"/>
        </w:numPr>
        <w:ind w:hanging="254"/>
      </w:pPr>
      <w:r>
        <w:rPr>
          <w:color w:val="FF0000"/>
        </w:rPr>
        <w:lastRenderedPageBreak/>
        <w:t xml:space="preserve">it is specific – it recognizes and targets specific pathogens </w:t>
      </w:r>
    </w:p>
    <w:p w:rsidR="001168A8" w:rsidRDefault="00B469F5">
      <w:pPr>
        <w:numPr>
          <w:ilvl w:val="1"/>
          <w:numId w:val="1"/>
        </w:numPr>
        <w:ind w:hanging="254"/>
      </w:pPr>
      <w:r>
        <w:rPr>
          <w:color w:val="FF0000"/>
        </w:rPr>
        <w:t xml:space="preserve">it is systemic -  it applies to the entire body rather than just one particular location </w:t>
      </w:r>
    </w:p>
    <w:p w:rsidR="001168A8" w:rsidRDefault="00B469F5">
      <w:pPr>
        <w:numPr>
          <w:ilvl w:val="1"/>
          <w:numId w:val="1"/>
        </w:numPr>
        <w:ind w:hanging="254"/>
      </w:pPr>
      <w:r>
        <w:rPr>
          <w:color w:val="FF0000"/>
        </w:rPr>
        <w:t xml:space="preserve">it has memory – after initial exposure the immune  </w:t>
      </w:r>
    </w:p>
    <w:p w:rsidR="001168A8" w:rsidRDefault="00B469F5">
      <w:pPr>
        <w:spacing w:after="0" w:line="259" w:lineRule="auto"/>
        <w:ind w:left="36" w:firstLine="0"/>
      </w:pPr>
      <w:r>
        <w:t xml:space="preserve"> </w:t>
      </w:r>
    </w:p>
    <w:p w:rsidR="001168A8" w:rsidRDefault="00B469F5">
      <w:pPr>
        <w:spacing w:after="222" w:line="259" w:lineRule="auto"/>
        <w:ind w:left="36" w:firstLine="0"/>
      </w:pPr>
      <w:r>
        <w:t xml:space="preserve"> </w:t>
      </w:r>
    </w:p>
    <w:p w:rsidR="001168A8" w:rsidRDefault="00B469F5">
      <w:pPr>
        <w:numPr>
          <w:ilvl w:val="0"/>
          <w:numId w:val="1"/>
        </w:numPr>
        <w:ind w:hanging="521"/>
      </w:pPr>
      <w:r>
        <w:t xml:space="preserve">All lymphocytes are produced in the red bone marrow  </w:t>
      </w:r>
      <w:r>
        <w:rPr>
          <w:b/>
        </w:rPr>
        <w:t>T</w:t>
      </w:r>
      <w:r>
        <w:rPr>
          <w:b/>
          <w:color w:val="FF0000"/>
        </w:rPr>
        <w:t xml:space="preserve"> </w:t>
      </w:r>
      <w:r>
        <w:rPr>
          <w:b/>
        </w:rPr>
        <w:t xml:space="preserve">  </w:t>
      </w:r>
      <w:r>
        <w:rPr>
          <w:b/>
          <w:color w:val="FF0000"/>
        </w:rPr>
        <w:t>F</w:t>
      </w:r>
      <w:r>
        <w:rPr>
          <w:b/>
        </w:rPr>
        <w:t xml:space="preserve"> </w:t>
      </w:r>
    </w:p>
    <w:p w:rsidR="001168A8" w:rsidRDefault="00B469F5">
      <w:pPr>
        <w:numPr>
          <w:ilvl w:val="0"/>
          <w:numId w:val="1"/>
        </w:numPr>
        <w:ind w:hanging="521"/>
      </w:pPr>
      <w:r>
        <w:t xml:space="preserve">B and </w:t>
      </w:r>
      <w:proofErr w:type="gramStart"/>
      <w:r>
        <w:t>T  lymphocytes</w:t>
      </w:r>
      <w:proofErr w:type="gramEnd"/>
      <w:r>
        <w:t xml:space="preserve"> are stored in the </w:t>
      </w:r>
      <w:r>
        <w:rPr>
          <w:color w:val="FF0000"/>
        </w:rPr>
        <w:t xml:space="preserve">lymph nodes </w:t>
      </w:r>
      <w:r>
        <w:t xml:space="preserve">until they are activated by contact with an antigen.  </w:t>
      </w:r>
    </w:p>
    <w:p w:rsidR="001168A8" w:rsidRDefault="00B469F5">
      <w:pPr>
        <w:numPr>
          <w:ilvl w:val="0"/>
          <w:numId w:val="1"/>
        </w:numPr>
        <w:ind w:hanging="521"/>
      </w:pPr>
      <w:r>
        <w:rPr>
          <w:color w:val="FF0000"/>
        </w:rPr>
        <w:t xml:space="preserve">Anti-body mediated immunity </w:t>
      </w:r>
      <w:r>
        <w:t xml:space="preserve">(humoral immunity) is one component of the specific defense system that involves a series of biochemical reactions that cause </w:t>
      </w:r>
      <w:r>
        <w:rPr>
          <w:color w:val="FF0000"/>
        </w:rPr>
        <w:t xml:space="preserve">B lymphocytes </w:t>
      </w:r>
      <w:r>
        <w:t xml:space="preserve">to divide into </w:t>
      </w:r>
      <w:r>
        <w:rPr>
          <w:color w:val="FF0000"/>
        </w:rPr>
        <w:t xml:space="preserve">memory cells </w:t>
      </w:r>
      <w:r>
        <w:t xml:space="preserve">and </w:t>
      </w:r>
      <w:r>
        <w:rPr>
          <w:color w:val="FF0000"/>
        </w:rPr>
        <w:t>plasma cells</w:t>
      </w:r>
      <w:r>
        <w:t xml:space="preserve">. </w:t>
      </w:r>
    </w:p>
    <w:p w:rsidR="001168A8" w:rsidRDefault="00B469F5">
      <w:pPr>
        <w:ind w:left="497"/>
      </w:pPr>
      <w:r>
        <w:t xml:space="preserve">Plasma cells produce </w:t>
      </w:r>
      <w:r>
        <w:rPr>
          <w:color w:val="FF0000"/>
        </w:rPr>
        <w:t xml:space="preserve">antibodies </w:t>
      </w:r>
      <w:r>
        <w:t xml:space="preserve">that attach to the surface of specific invading antigens, thereby disabling them so that macrophages can ultimately destroy and eliminate them from the body. </w:t>
      </w:r>
    </w:p>
    <w:p w:rsidR="001168A8" w:rsidRDefault="00B469F5">
      <w:pPr>
        <w:ind w:left="497"/>
      </w:pPr>
      <w:r>
        <w:rPr>
          <w:color w:val="FF0000"/>
        </w:rPr>
        <w:t xml:space="preserve">Memory B cells </w:t>
      </w:r>
      <w:r>
        <w:t xml:space="preserve">remain in the blood, so that the immune system’s response to a future invasion can be triggered much more quickly and effectively, before the infection gets out of control. </w:t>
      </w:r>
    </w:p>
    <w:p w:rsidR="001168A8" w:rsidRDefault="00B469F5">
      <w:pPr>
        <w:spacing w:after="221" w:line="259" w:lineRule="auto"/>
        <w:ind w:left="487" w:firstLine="0"/>
      </w:pPr>
      <w:r>
        <w:t xml:space="preserve"> </w:t>
      </w:r>
    </w:p>
    <w:p w:rsidR="001168A8" w:rsidRDefault="00B469F5">
      <w:pPr>
        <w:numPr>
          <w:ilvl w:val="0"/>
          <w:numId w:val="1"/>
        </w:numPr>
        <w:ind w:hanging="521"/>
      </w:pPr>
      <w:r>
        <w:rPr>
          <w:color w:val="FF0000"/>
        </w:rPr>
        <w:t xml:space="preserve">Cell mediated immunity </w:t>
      </w:r>
      <w:r>
        <w:t>is the second component of the specific defense system which uses T-lymphocytes to launch a direct chemical attack on tissue cells that have been infected with parasites, viruses, cancer, or have been transplanted into the body from another organism.  (</w:t>
      </w:r>
      <w:proofErr w:type="spellStart"/>
      <w:proofErr w:type="gramStart"/>
      <w:r>
        <w:t>eg</w:t>
      </w:r>
      <w:proofErr w:type="spellEnd"/>
      <w:proofErr w:type="gramEnd"/>
      <w:r>
        <w:t xml:space="preserve">. A pig valve for the heart, or a donor kidney). </w:t>
      </w:r>
    </w:p>
    <w:p w:rsidR="001168A8" w:rsidRDefault="00B469F5">
      <w:pPr>
        <w:numPr>
          <w:ilvl w:val="0"/>
          <w:numId w:val="1"/>
        </w:numPr>
        <w:ind w:hanging="521"/>
      </w:pPr>
      <w:r>
        <w:t xml:space="preserve">For each of the following scenarios, list some of body’s defense mechanisms that would be   activated to provide protection, or prevent the spread of disease. </w:t>
      </w:r>
      <w:r>
        <w:rPr>
          <w:color w:val="FF0000"/>
        </w:rPr>
        <w:t xml:space="preserve"> </w:t>
      </w:r>
    </w:p>
    <w:p w:rsidR="001168A8" w:rsidRDefault="00B469F5">
      <w:pPr>
        <w:numPr>
          <w:ilvl w:val="2"/>
          <w:numId w:val="2"/>
        </w:numPr>
      </w:pPr>
      <w:r>
        <w:t xml:space="preserve">A young female who has had her wisdom teeth removed </w:t>
      </w:r>
      <w:r>
        <w:rPr>
          <w:color w:val="FF0000"/>
        </w:rPr>
        <w:t xml:space="preserve">inflammatory response, mucous membranes, phagocytes </w:t>
      </w:r>
    </w:p>
    <w:p w:rsidR="001168A8" w:rsidRDefault="00B469F5">
      <w:pPr>
        <w:numPr>
          <w:ilvl w:val="2"/>
          <w:numId w:val="2"/>
        </w:numPr>
      </w:pPr>
      <w:r>
        <w:t xml:space="preserve">A hiker whose bear spray went off in the car </w:t>
      </w:r>
      <w:r>
        <w:rPr>
          <w:color w:val="FF0000"/>
        </w:rPr>
        <w:t xml:space="preserve">mucous membranes, cilia, inflammatory response  </w:t>
      </w:r>
    </w:p>
    <w:p w:rsidR="001168A8" w:rsidRDefault="00B469F5">
      <w:pPr>
        <w:numPr>
          <w:ilvl w:val="2"/>
          <w:numId w:val="2"/>
        </w:numPr>
      </w:pPr>
      <w:r>
        <w:lastRenderedPageBreak/>
        <w:t xml:space="preserve">A student who has received a hepatitis vaccination </w:t>
      </w:r>
      <w:r>
        <w:rPr>
          <w:color w:val="FF0000"/>
        </w:rPr>
        <w:t xml:space="preserve">T and B lymphocytes, cell mediated and antibody mediated defenses </w:t>
      </w:r>
    </w:p>
    <w:p w:rsidR="001168A8" w:rsidRDefault="00B469F5">
      <w:pPr>
        <w:numPr>
          <w:ilvl w:val="2"/>
          <w:numId w:val="2"/>
        </w:numPr>
      </w:pPr>
      <w:r>
        <w:t xml:space="preserve">A cook who cut his finger while chopping up a raw chicken </w:t>
      </w:r>
      <w:r>
        <w:rPr>
          <w:color w:val="FF0000"/>
        </w:rPr>
        <w:t xml:space="preserve">inflammatory response,  phagocytes </w:t>
      </w:r>
    </w:p>
    <w:p w:rsidR="001168A8" w:rsidRDefault="00B469F5">
      <w:pPr>
        <w:spacing w:after="0" w:line="259" w:lineRule="auto"/>
        <w:ind w:left="36" w:firstLine="0"/>
      </w:pPr>
      <w:r>
        <w:t xml:space="preserve"> </w:t>
      </w:r>
    </w:p>
    <w:p w:rsidR="001168A8" w:rsidRDefault="00B469F5">
      <w:pPr>
        <w:numPr>
          <w:ilvl w:val="0"/>
          <w:numId w:val="1"/>
        </w:numPr>
        <w:ind w:hanging="521"/>
      </w:pPr>
      <w:r>
        <w:t xml:space="preserve">Explain the physiology behind autoimmune disorders.  </w:t>
      </w:r>
      <w:r>
        <w:rPr>
          <w:color w:val="FF0000"/>
        </w:rPr>
        <w:t xml:space="preserve">A patient’s lymphocytes lose the ability to recognize the difference between cells that are “self” and those that are foreign, and so they begin to attack the tissues they are supposed to be protecting. </w:t>
      </w:r>
    </w:p>
    <w:p w:rsidR="001168A8" w:rsidRDefault="00B469F5">
      <w:pPr>
        <w:spacing w:after="221" w:line="259" w:lineRule="auto"/>
        <w:ind w:left="36" w:firstLine="0"/>
      </w:pPr>
      <w:r>
        <w:rPr>
          <w:b/>
        </w:rPr>
        <w:t xml:space="preserve"> </w:t>
      </w:r>
    </w:p>
    <w:p w:rsidR="001168A8" w:rsidRDefault="00B469F5">
      <w:pPr>
        <w:spacing w:after="221" w:line="259" w:lineRule="auto"/>
        <w:ind w:left="36" w:firstLine="0"/>
      </w:pPr>
      <w:r>
        <w:rPr>
          <w:b/>
          <w:u w:val="single"/>
        </w:rPr>
        <w:t>From the following list, circle the statements that are true:</w:t>
      </w:r>
      <w:r>
        <w:rPr>
          <w:b/>
        </w:rPr>
        <w:t xml:space="preserve"> </w:t>
      </w:r>
    </w:p>
    <w:p w:rsidR="001168A8" w:rsidRDefault="00B469F5">
      <w:pPr>
        <w:numPr>
          <w:ilvl w:val="0"/>
          <w:numId w:val="1"/>
        </w:numPr>
        <w:ind w:hanging="521"/>
      </w:pPr>
      <w:r>
        <w:t xml:space="preserve">The hepatitis vaccine that you require to work in the hospital will give you an “actively   acquired artificial humoral immunity” to hepatitis. </w:t>
      </w:r>
      <w:r>
        <w:rPr>
          <w:color w:val="FF0000"/>
        </w:rPr>
        <w:t xml:space="preserve">True </w:t>
      </w:r>
      <w:r>
        <w:t xml:space="preserve">  </w:t>
      </w:r>
    </w:p>
    <w:p w:rsidR="001168A8" w:rsidRDefault="00B469F5">
      <w:pPr>
        <w:numPr>
          <w:ilvl w:val="0"/>
          <w:numId w:val="1"/>
        </w:numPr>
        <w:ind w:hanging="521"/>
      </w:pPr>
      <w:r>
        <w:t xml:space="preserve">A child who has accidently swallowed a caustic chemical is in danger of compromising the mucous membranes in her throat and is at more risk for infection. </w:t>
      </w:r>
      <w:r>
        <w:rPr>
          <w:color w:val="FF0000"/>
        </w:rPr>
        <w:t>True</w:t>
      </w:r>
      <w:r>
        <w:t xml:space="preserve"> </w:t>
      </w:r>
    </w:p>
    <w:p w:rsidR="001168A8" w:rsidRDefault="00B469F5">
      <w:pPr>
        <w:numPr>
          <w:ilvl w:val="0"/>
          <w:numId w:val="1"/>
        </w:numPr>
        <w:ind w:hanging="521"/>
      </w:pPr>
      <w:r>
        <w:t xml:space="preserve">Anti-histamines works against the natural inflammatory processes of the body. </w:t>
      </w:r>
      <w:r>
        <w:rPr>
          <w:color w:val="FF0000"/>
        </w:rPr>
        <w:t>True</w:t>
      </w:r>
      <w:r>
        <w:t xml:space="preserve"> </w:t>
      </w:r>
    </w:p>
    <w:p w:rsidR="001168A8" w:rsidRDefault="00B469F5">
      <w:pPr>
        <w:numPr>
          <w:ilvl w:val="0"/>
          <w:numId w:val="1"/>
        </w:numPr>
        <w:ind w:hanging="521"/>
      </w:pPr>
      <w:r>
        <w:t xml:space="preserve">Gloves provide a technologist’s non-specific immune system with a little extra help </w:t>
      </w:r>
      <w:r>
        <w:rPr>
          <w:color w:val="FF0000"/>
        </w:rPr>
        <w:t>True</w:t>
      </w:r>
      <w:r>
        <w:t xml:space="preserve"> </w:t>
      </w:r>
    </w:p>
    <w:p w:rsidR="001168A8" w:rsidRDefault="00B469F5">
      <w:pPr>
        <w:numPr>
          <w:ilvl w:val="0"/>
          <w:numId w:val="1"/>
        </w:numPr>
        <w:ind w:hanging="521"/>
      </w:pPr>
      <w:r>
        <w:t xml:space="preserve">Hand washing is an important line of defense because it helps to prevent pathogens from          coming in contact with mucous membranes. </w:t>
      </w:r>
      <w:r>
        <w:rPr>
          <w:color w:val="FF0000"/>
        </w:rPr>
        <w:t xml:space="preserve">True  </w:t>
      </w:r>
      <w:r>
        <w:t xml:space="preserve"> </w:t>
      </w:r>
    </w:p>
    <w:p w:rsidR="001168A8" w:rsidRDefault="00B469F5">
      <w:pPr>
        <w:numPr>
          <w:ilvl w:val="0"/>
          <w:numId w:val="1"/>
        </w:numPr>
        <w:ind w:hanging="521"/>
      </w:pPr>
      <w:r>
        <w:t xml:space="preserve">Vaccinations are the only way to develop humoral immunity in the body. </w:t>
      </w:r>
      <w:r>
        <w:rPr>
          <w:color w:val="FF0000"/>
        </w:rPr>
        <w:t>False</w:t>
      </w:r>
      <w:r>
        <w:t xml:space="preserve"> </w:t>
      </w:r>
    </w:p>
    <w:p w:rsidR="001168A8" w:rsidRDefault="00B469F5">
      <w:pPr>
        <w:numPr>
          <w:ilvl w:val="0"/>
          <w:numId w:val="1"/>
        </w:numPr>
        <w:ind w:hanging="521"/>
      </w:pPr>
      <w:r>
        <w:t xml:space="preserve">Uncontrolled inflammation in body tissues can lead to scarring (fibrosis) </w:t>
      </w:r>
      <w:r>
        <w:rPr>
          <w:color w:val="FF0000"/>
        </w:rPr>
        <w:t xml:space="preserve">True </w:t>
      </w:r>
    </w:p>
    <w:sectPr w:rsidR="001168A8">
      <w:headerReference w:type="default" r:id="rId10"/>
      <w:pgSz w:w="12240" w:h="15840"/>
      <w:pgMar w:top="1488" w:right="1456" w:bottom="1609" w:left="140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0CE" w:rsidRDefault="00C160CE">
      <w:pPr>
        <w:spacing w:after="0" w:line="240" w:lineRule="auto"/>
      </w:pPr>
      <w:r>
        <w:separator/>
      </w:r>
    </w:p>
  </w:endnote>
  <w:endnote w:type="continuationSeparator" w:id="0">
    <w:p w:rsidR="00C160CE" w:rsidRDefault="00C16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0CE" w:rsidRDefault="00C160CE">
      <w:pPr>
        <w:spacing w:after="0" w:line="240" w:lineRule="auto"/>
      </w:pPr>
      <w:r>
        <w:separator/>
      </w:r>
    </w:p>
  </w:footnote>
  <w:footnote w:type="continuationSeparator" w:id="0">
    <w:p w:rsidR="00C160CE" w:rsidRDefault="00C160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361" w:rsidRDefault="00752361">
    <w:pPr>
      <w:pStyle w:val="Header"/>
    </w:pPr>
    <w:r w:rsidRPr="00752361">
      <w:rPr>
        <w:noProof/>
        <w:lang w:val="en-US" w:eastAsia="en-US"/>
      </w:rPr>
      <w:drawing>
        <wp:inline distT="0" distB="0" distL="0" distR="0">
          <wp:extent cx="866775" cy="928688"/>
          <wp:effectExtent l="0" t="0" r="0" b="508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0040" cy="94290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51CEB"/>
    <w:multiLevelType w:val="multilevel"/>
    <w:tmpl w:val="3CC6CB38"/>
    <w:lvl w:ilvl="0">
      <w:start w:val="1"/>
      <w:numFmt w:val="decimal"/>
      <w:lvlText w:val="%1"/>
      <w:lvlJc w:val="left"/>
      <w:pPr>
        <w:ind w:left="360"/>
      </w:pPr>
      <w:rPr>
        <w:rFonts w:ascii="Calibri" w:eastAsia="Calibri" w:hAnsi="Calibri" w:cs="Calibri"/>
        <w:b w:val="0"/>
        <w:i w:val="0"/>
        <w:strike w:val="0"/>
        <w:color w:val="FF0000"/>
        <w:sz w:val="24"/>
        <w:szCs w:val="24"/>
        <w:u w:val="none"/>
        <w:shd w:val="clear" w:color="auto" w:fill="auto"/>
        <w:vertAlign w:val="baseline"/>
      </w:rPr>
    </w:lvl>
    <w:lvl w:ilvl="1">
      <w:start w:val="1"/>
      <w:numFmt w:val="decimal"/>
      <w:lvlText w:val="%2."/>
      <w:lvlJc w:val="left"/>
      <w:pPr>
        <w:ind w:left="673"/>
      </w:pPr>
      <w:rPr>
        <w:rFonts w:ascii="Calibri" w:eastAsia="Calibri" w:hAnsi="Calibri" w:cs="Calibri"/>
        <w:b w:val="0"/>
        <w:i w:val="0"/>
        <w:strike w:val="0"/>
        <w:color w:val="FF0000"/>
        <w:sz w:val="24"/>
        <w:szCs w:val="24"/>
        <w:u w:val="none"/>
        <w:shd w:val="clear" w:color="auto" w:fill="auto"/>
        <w:vertAlign w:val="baseline"/>
      </w:rPr>
    </w:lvl>
    <w:lvl w:ilvl="2">
      <w:start w:val="1"/>
      <w:numFmt w:val="lowerRoman"/>
      <w:lvlText w:val="%3"/>
      <w:lvlJc w:val="left"/>
      <w:pPr>
        <w:ind w:left="1440"/>
      </w:pPr>
      <w:rPr>
        <w:rFonts w:ascii="Calibri" w:eastAsia="Calibri" w:hAnsi="Calibri" w:cs="Calibri"/>
        <w:b w:val="0"/>
        <w:i w:val="0"/>
        <w:strike w:val="0"/>
        <w:color w:val="FF0000"/>
        <w:sz w:val="24"/>
        <w:szCs w:val="24"/>
        <w:u w:val="none"/>
        <w:shd w:val="clear" w:color="auto" w:fill="auto"/>
        <w:vertAlign w:val="baseline"/>
      </w:rPr>
    </w:lvl>
    <w:lvl w:ilvl="3">
      <w:start w:val="1"/>
      <w:numFmt w:val="decimal"/>
      <w:lvlText w:val="%4"/>
      <w:lvlJc w:val="left"/>
      <w:pPr>
        <w:ind w:left="2160"/>
      </w:pPr>
      <w:rPr>
        <w:rFonts w:ascii="Calibri" w:eastAsia="Calibri" w:hAnsi="Calibri" w:cs="Calibri"/>
        <w:b w:val="0"/>
        <w:i w:val="0"/>
        <w:strike w:val="0"/>
        <w:color w:val="FF0000"/>
        <w:sz w:val="24"/>
        <w:szCs w:val="24"/>
        <w:u w:val="none"/>
        <w:shd w:val="clear" w:color="auto" w:fill="auto"/>
        <w:vertAlign w:val="baseline"/>
      </w:rPr>
    </w:lvl>
    <w:lvl w:ilvl="4">
      <w:start w:val="1"/>
      <w:numFmt w:val="lowerLetter"/>
      <w:lvlText w:val="%5"/>
      <w:lvlJc w:val="left"/>
      <w:pPr>
        <w:ind w:left="2880"/>
      </w:pPr>
      <w:rPr>
        <w:rFonts w:ascii="Calibri" w:eastAsia="Calibri" w:hAnsi="Calibri" w:cs="Calibri"/>
        <w:b w:val="0"/>
        <w:i w:val="0"/>
        <w:strike w:val="0"/>
        <w:color w:val="FF0000"/>
        <w:sz w:val="24"/>
        <w:szCs w:val="24"/>
        <w:u w:val="none"/>
        <w:shd w:val="clear" w:color="auto" w:fill="auto"/>
        <w:vertAlign w:val="baseline"/>
      </w:rPr>
    </w:lvl>
    <w:lvl w:ilvl="5">
      <w:start w:val="1"/>
      <w:numFmt w:val="lowerRoman"/>
      <w:lvlText w:val="%6"/>
      <w:lvlJc w:val="left"/>
      <w:pPr>
        <w:ind w:left="3600"/>
      </w:pPr>
      <w:rPr>
        <w:rFonts w:ascii="Calibri" w:eastAsia="Calibri" w:hAnsi="Calibri" w:cs="Calibri"/>
        <w:b w:val="0"/>
        <w:i w:val="0"/>
        <w:strike w:val="0"/>
        <w:color w:val="FF0000"/>
        <w:sz w:val="24"/>
        <w:szCs w:val="24"/>
        <w:u w:val="none"/>
        <w:shd w:val="clear" w:color="auto" w:fill="auto"/>
        <w:vertAlign w:val="baseline"/>
      </w:rPr>
    </w:lvl>
    <w:lvl w:ilvl="6">
      <w:start w:val="1"/>
      <w:numFmt w:val="decimal"/>
      <w:lvlText w:val="%7"/>
      <w:lvlJc w:val="left"/>
      <w:pPr>
        <w:ind w:left="4320"/>
      </w:pPr>
      <w:rPr>
        <w:rFonts w:ascii="Calibri" w:eastAsia="Calibri" w:hAnsi="Calibri" w:cs="Calibri"/>
        <w:b w:val="0"/>
        <w:i w:val="0"/>
        <w:strike w:val="0"/>
        <w:color w:val="FF0000"/>
        <w:sz w:val="24"/>
        <w:szCs w:val="24"/>
        <w:u w:val="none"/>
        <w:shd w:val="clear" w:color="auto" w:fill="auto"/>
        <w:vertAlign w:val="baseline"/>
      </w:rPr>
    </w:lvl>
    <w:lvl w:ilvl="7">
      <w:start w:val="1"/>
      <w:numFmt w:val="lowerLetter"/>
      <w:lvlText w:val="%8"/>
      <w:lvlJc w:val="left"/>
      <w:pPr>
        <w:ind w:left="5040"/>
      </w:pPr>
      <w:rPr>
        <w:rFonts w:ascii="Calibri" w:eastAsia="Calibri" w:hAnsi="Calibri" w:cs="Calibri"/>
        <w:b w:val="0"/>
        <w:i w:val="0"/>
        <w:strike w:val="0"/>
        <w:color w:val="FF0000"/>
        <w:sz w:val="24"/>
        <w:szCs w:val="24"/>
        <w:u w:val="none"/>
        <w:shd w:val="clear" w:color="auto" w:fill="auto"/>
        <w:vertAlign w:val="baseline"/>
      </w:rPr>
    </w:lvl>
    <w:lvl w:ilvl="8">
      <w:start w:val="1"/>
      <w:numFmt w:val="lowerRoman"/>
      <w:lvlText w:val="%9"/>
      <w:lvlJc w:val="left"/>
      <w:pPr>
        <w:ind w:left="5760"/>
      </w:pPr>
      <w:rPr>
        <w:rFonts w:ascii="Calibri" w:eastAsia="Calibri" w:hAnsi="Calibri" w:cs="Calibri"/>
        <w:b w:val="0"/>
        <w:i w:val="0"/>
        <w:strike w:val="0"/>
        <w:color w:val="FF0000"/>
        <w:sz w:val="24"/>
        <w:szCs w:val="24"/>
        <w:u w:val="none"/>
        <w:shd w:val="clear" w:color="auto" w:fill="auto"/>
        <w:vertAlign w:val="baseline"/>
      </w:rPr>
    </w:lvl>
  </w:abstractNum>
  <w:abstractNum w:abstractNumId="1" w15:restartNumberingAfterBreak="0">
    <w:nsid w:val="3ADC4706"/>
    <w:multiLevelType w:val="multilevel"/>
    <w:tmpl w:val="CC7EA26E"/>
    <w:lvl w:ilvl="0">
      <w:start w:val="1"/>
      <w:numFmt w:val="decimal"/>
      <w:lvlText w:val="%1"/>
      <w:lvlJc w:val="left"/>
      <w:pPr>
        <w:ind w:left="360"/>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766"/>
      </w:pPr>
      <w:rPr>
        <w:rFonts w:ascii="Calibri" w:eastAsia="Calibri" w:hAnsi="Calibri" w:cs="Calibri"/>
        <w:b w:val="0"/>
        <w:i w:val="0"/>
        <w:strike w:val="0"/>
        <w:color w:val="000000"/>
        <w:sz w:val="24"/>
        <w:szCs w:val="24"/>
        <w:u w:val="none"/>
        <w:shd w:val="clear" w:color="auto" w:fill="auto"/>
        <w:vertAlign w:val="baseline"/>
      </w:rPr>
    </w:lvl>
    <w:lvl w:ilvl="2">
      <w:start w:val="1"/>
      <w:numFmt w:val="lowerLetter"/>
      <w:lvlRestart w:val="0"/>
      <w:lvlText w:val="%3)"/>
      <w:lvlJc w:val="left"/>
      <w:pPr>
        <w:ind w:left="766"/>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1891"/>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2611"/>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331"/>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051"/>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4771"/>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5491"/>
      </w:pPr>
      <w:rPr>
        <w:rFonts w:ascii="Calibri" w:eastAsia="Calibri" w:hAnsi="Calibri" w:cs="Calibri"/>
        <w:b w:val="0"/>
        <w:i w:val="0"/>
        <w:strike w:val="0"/>
        <w:color w:val="000000"/>
        <w:sz w:val="24"/>
        <w:szCs w:val="24"/>
        <w:u w:val="none"/>
        <w:shd w:val="clear" w:color="auto" w:fill="auto"/>
        <w:vertAlign w:val="baseline"/>
      </w:rPr>
    </w:lvl>
  </w:abstractNum>
  <w:abstractNum w:abstractNumId="2" w15:restartNumberingAfterBreak="0">
    <w:nsid w:val="4EBA7C53"/>
    <w:multiLevelType w:val="multilevel"/>
    <w:tmpl w:val="96885F24"/>
    <w:lvl w:ilvl="0">
      <w:start w:val="1"/>
      <w:numFmt w:val="decimal"/>
      <w:lvlText w:val="%1."/>
      <w:lvlJc w:val="left"/>
      <w:pPr>
        <w:ind w:left="542"/>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635"/>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351"/>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071"/>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2791"/>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511"/>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231"/>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4951"/>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5671"/>
      </w:pPr>
      <w:rPr>
        <w:rFonts w:ascii="Calibri" w:eastAsia="Calibri" w:hAnsi="Calibri" w:cs="Calibri"/>
        <w:b w:val="0"/>
        <w:i w:val="0"/>
        <w:strike w:val="0"/>
        <w:color w:val="000000"/>
        <w:sz w:val="24"/>
        <w:szCs w:val="24"/>
        <w:u w:val="none"/>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8A8"/>
    <w:rsid w:val="001168A8"/>
    <w:rsid w:val="006C2613"/>
    <w:rsid w:val="00752361"/>
    <w:rsid w:val="00B469F5"/>
    <w:rsid w:val="00C160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0D1ED"/>
  <w15:docId w15:val="{A17BAB81-002E-42DC-8F56-E7CBD3430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9" w:line="268" w:lineRule="auto"/>
      <w:ind w:left="46" w:hanging="10"/>
    </w:pPr>
    <w:rPr>
      <w:rFonts w:ascii="Calibri" w:eastAsia="Calibri" w:hAnsi="Calibri" w:cs="Calibri"/>
      <w:color w:val="000000"/>
    </w:rPr>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single" w:sz="12" w:space="0" w:color="19729B" w:themeColor="accent1" w:themeTint="EA"/>
          <w:right w:val="none" w:sz="4" w:space="0" w:color="000000"/>
        </w:tcBorders>
        <w:shd w:val="clear" w:color="FFFFFF" w:fill="auto"/>
      </w:tcPr>
    </w:tblStylePr>
    <w:tblStylePr w:type="lastRow">
      <w:rPr>
        <w:b/>
        <w:color w:val="404040"/>
      </w:rPr>
      <w:tblPr/>
      <w:tcPr>
        <w:tcBorders>
          <w:top w:val="single" w:sz="4" w:space="0" w:color="19729B"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single" w:sz="12" w:space="0" w:color="196C24" w:themeColor="accent3" w:themeTint="FE"/>
          <w:right w:val="none" w:sz="4" w:space="0" w:color="000000"/>
        </w:tcBorders>
        <w:shd w:val="clear" w:color="FFFFFF" w:fill="auto"/>
      </w:tcPr>
    </w:tblStylePr>
    <w:tblStylePr w:type="lastRow">
      <w:rPr>
        <w:b/>
        <w:color w:val="404040"/>
      </w:rPr>
      <w:tblPr/>
      <w:tcPr>
        <w:tcBorders>
          <w:top w:val="single" w:sz="4" w:space="0" w:color="196C24"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single" w:sz="12" w:space="0" w:color="5FCAF3" w:themeColor="accent4" w:themeTint="9A"/>
          <w:right w:val="none" w:sz="4" w:space="0" w:color="000000"/>
        </w:tcBorders>
        <w:shd w:val="clear" w:color="FFFFFF" w:fill="auto"/>
      </w:tcPr>
    </w:tblStylePr>
    <w:tblStylePr w:type="lastRow">
      <w:rPr>
        <w:b/>
        <w:color w:val="404040"/>
      </w:rPr>
      <w:tblPr/>
      <w:tcPr>
        <w:tcBorders>
          <w:top w:val="single" w:sz="4" w:space="0" w:color="5FCAF3"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themeShade="95"/>
      </w:rPr>
      <w:tblPr/>
      <w:tcPr>
        <w:tcBorders>
          <w:bottom w:val="single" w:sz="12" w:space="0" w:color="63BDE6" w:themeColor="accent1" w:themeTint="8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A85" w:themeColor="accent2" w:themeTint="97" w:themeShade="95"/>
      </w:rPr>
      <w:tblPr/>
      <w:tcPr>
        <w:tcBorders>
          <w:bottom w:val="single" w:sz="12" w:space="0" w:color="F2AA85" w:themeColor="accent2" w:themeTint="97"/>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C24" w:themeColor="accent3" w:themeTint="FE" w:themeShade="95"/>
      </w:rPr>
      <w:tblPr/>
      <w:tcPr>
        <w:tcBorders>
          <w:bottom w:val="single" w:sz="12" w:space="0" w:color="196C24" w:themeColor="accent3" w:themeTint="FE"/>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5FCAF3" w:themeColor="accent4" w:themeTint="9A" w:themeShade="95"/>
      </w:rPr>
      <w:tblPr/>
      <w:tcPr>
        <w:tcBorders>
          <w:bottom w:val="single" w:sz="12" w:space="0" w:color="5FCAF3" w:themeColor="accent4" w:themeTint="9A"/>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D1955" w:themeColor="accent5" w:themeShade="95"/>
      </w:rPr>
      <w:tblPr/>
      <w:tcPr>
        <w:tcBorders>
          <w:bottom w:val="single" w:sz="12" w:space="0" w:color="A02B93" w:themeColor="accent5"/>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D1955" w:themeColor="accent5" w:themeShade="95"/>
      </w:rPr>
      <w:tblPr/>
      <w:tcPr>
        <w:tcBorders>
          <w:bottom w:val="single" w:sz="12" w:space="0" w:color="4EA72E" w:themeColor="accent6"/>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themeShade="95"/>
        <w:sz w:val="22"/>
      </w:rPr>
      <w:tblPr/>
      <w:tcPr>
        <w:tcBorders>
          <w:top w:val="none" w:sz="0" w:space="0" w:color="auto"/>
          <w:left w:val="none" w:sz="0" w:space="0" w:color="auto"/>
          <w:bottom w:val="single" w:sz="4" w:space="0" w:color="63BDE6" w:themeColor="accent1" w:themeTint="80"/>
          <w:right w:val="none" w:sz="0" w:space="0" w:color="auto"/>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sz="4" w:space="0" w:color="63BDE6"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sz="0" w:space="0" w:color="auto"/>
          <w:left w:val="none" w:sz="0" w:space="0" w:color="auto"/>
          <w:bottom w:val="none" w:sz="0" w:space="0" w:color="auto"/>
          <w:right w:val="single" w:sz="4" w:space="0" w:color="63BDE6" w:themeColor="accent1" w:themeTint="80"/>
        </w:tcBorders>
        <w:shd w:val="clear" w:color="FFFFFF" w:fill="auto"/>
      </w:tcPr>
    </w:tblStylePr>
    <w:tblStylePr w:type="lastCol">
      <w:rPr>
        <w:rFonts w:ascii="Arial" w:hAnsi="Arial"/>
        <w:i/>
        <w:color w:val="63BDE6" w:themeColor="accent1" w:themeTint="80" w:themeShade="95"/>
        <w:sz w:val="22"/>
      </w:rPr>
      <w:tblPr/>
      <w:tcPr>
        <w:tcBorders>
          <w:top w:val="none" w:sz="0" w:space="0" w:color="auto"/>
          <w:left w:val="single" w:sz="4" w:space="0" w:color="63BDE6" w:themeColor="accent1" w:themeTint="80"/>
          <w:bottom w:val="none" w:sz="0" w:space="0" w:color="auto"/>
          <w:right w:val="none" w:sz="0" w:space="0" w:color="auto"/>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C24" w:themeColor="accent3" w:themeTint="FE" w:themeShade="95"/>
        <w:sz w:val="22"/>
      </w:rPr>
      <w:tblPr/>
      <w:tcPr>
        <w:tcBorders>
          <w:top w:val="none" w:sz="0" w:space="0" w:color="auto"/>
          <w:left w:val="none" w:sz="0" w:space="0" w:color="auto"/>
          <w:bottom w:val="single" w:sz="4" w:space="0" w:color="196C24" w:themeColor="accent3" w:themeTint="FE"/>
          <w:right w:val="none" w:sz="0" w:space="0" w:color="auto"/>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sz="4" w:space="0" w:color="196C24"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sz="0" w:space="0" w:color="auto"/>
          <w:left w:val="none" w:sz="0" w:space="0" w:color="auto"/>
          <w:bottom w:val="none" w:sz="0" w:space="0" w:color="auto"/>
          <w:right w:val="single" w:sz="4" w:space="0" w:color="196C24" w:themeColor="accent3" w:themeTint="FE"/>
        </w:tcBorders>
        <w:shd w:val="clear" w:color="FFFFFF" w:fill="auto"/>
      </w:tcPr>
    </w:tblStylePr>
    <w:tblStylePr w:type="lastCol">
      <w:rPr>
        <w:rFonts w:ascii="Arial" w:hAnsi="Arial"/>
        <w:i/>
        <w:color w:val="196C24" w:themeColor="accent3" w:themeTint="FE" w:themeShade="95"/>
        <w:sz w:val="22"/>
      </w:rPr>
      <w:tblPr/>
      <w:tcPr>
        <w:tcBorders>
          <w:top w:val="none" w:sz="0" w:space="0" w:color="auto"/>
          <w:left w:val="single" w:sz="4" w:space="0" w:color="196C24" w:themeColor="accent3" w:themeTint="FE"/>
          <w:bottom w:val="none" w:sz="0" w:space="0" w:color="auto"/>
          <w:right w:val="none" w:sz="0" w:space="0" w:color="auto"/>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D1955" w:themeColor="accent5" w:themeShade="95"/>
        <w:sz w:val="22"/>
      </w:rPr>
      <w:tblPr/>
      <w:tcPr>
        <w:tcBorders>
          <w:top w:val="none" w:sz="0" w:space="0" w:color="auto"/>
          <w:left w:val="none" w:sz="0" w:space="0" w:color="auto"/>
          <w:bottom w:val="single" w:sz="4" w:space="0" w:color="DA76CE" w:themeColor="accent5" w:themeTint="90"/>
          <w:right w:val="none" w:sz="0" w:space="0" w:color="auto"/>
        </w:tcBorders>
        <w:shd w:val="clear" w:color="FFFFFF" w:themeColor="light1" w:fill="FFFFFF" w:themeFill="light1"/>
      </w:tcPr>
    </w:tblStylePr>
    <w:tblStylePr w:type="lastRow">
      <w:rPr>
        <w:rFonts w:ascii="Arial" w:hAnsi="Arial"/>
        <w:b/>
        <w:color w:val="5D1955" w:themeColor="accent5" w:themeShade="95"/>
        <w:sz w:val="22"/>
      </w:rPr>
      <w:tblPr/>
      <w:tcPr>
        <w:tcBorders>
          <w:top w:val="single" w:sz="4" w:space="0" w:color="DA76C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sz="0" w:space="0" w:color="auto"/>
          <w:left w:val="none" w:sz="0" w:space="0" w:color="auto"/>
          <w:bottom w:val="none" w:sz="0" w:space="0" w:color="auto"/>
          <w:right w:val="single" w:sz="4" w:space="0" w:color="DA76CE" w:themeColor="accent5" w:themeTint="90"/>
        </w:tcBorders>
        <w:shd w:val="clear" w:color="FFFFFF" w:fill="auto"/>
      </w:tcPr>
    </w:tblStylePr>
    <w:tblStylePr w:type="lastCol">
      <w:rPr>
        <w:rFonts w:ascii="Arial" w:hAnsi="Arial"/>
        <w:i/>
        <w:color w:val="5D1955" w:themeColor="accent5" w:themeShade="95"/>
        <w:sz w:val="22"/>
      </w:rPr>
      <w:tblPr/>
      <w:tcPr>
        <w:tcBorders>
          <w:top w:val="none" w:sz="0" w:space="0" w:color="auto"/>
          <w:left w:val="single" w:sz="4" w:space="0" w:color="DA76CE" w:themeColor="accent5" w:themeTint="90"/>
          <w:bottom w:val="none" w:sz="0" w:space="0" w:color="auto"/>
          <w:right w:val="none" w:sz="0" w:space="0" w:color="auto"/>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11B" w:themeColor="accent6" w:themeShade="95"/>
        <w:sz w:val="22"/>
      </w:rPr>
      <w:tblPr/>
      <w:tcPr>
        <w:tcBorders>
          <w:top w:val="none" w:sz="0" w:space="0" w:color="auto"/>
          <w:left w:val="none" w:sz="0" w:space="0" w:color="auto"/>
          <w:bottom w:val="single" w:sz="4" w:space="0" w:color="94DA7B" w:themeColor="accent6" w:themeTint="90"/>
          <w:right w:val="none" w:sz="0" w:space="0" w:color="auto"/>
        </w:tcBorders>
        <w:shd w:val="clear" w:color="FFFFFF" w:themeColor="light1" w:fill="FFFFFF" w:themeFill="light1"/>
      </w:tcPr>
    </w:tblStylePr>
    <w:tblStylePr w:type="lastRow">
      <w:rPr>
        <w:rFonts w:ascii="Arial" w:hAnsi="Arial"/>
        <w:b/>
        <w:color w:val="2D611B" w:themeColor="accent6" w:themeShade="95"/>
        <w:sz w:val="22"/>
      </w:rPr>
      <w:tblPr/>
      <w:tcPr>
        <w:tcBorders>
          <w:top w:val="single" w:sz="4" w:space="0" w:color="94DA7B"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sz="0" w:space="0" w:color="auto"/>
          <w:left w:val="none" w:sz="0" w:space="0" w:color="auto"/>
          <w:bottom w:val="none" w:sz="0" w:space="0" w:color="auto"/>
          <w:right w:val="single" w:sz="4" w:space="0" w:color="94DA7B" w:themeColor="accent6" w:themeTint="90"/>
        </w:tcBorders>
        <w:shd w:val="clear" w:color="FFFFFF" w:fill="auto"/>
      </w:tcPr>
    </w:tblStylePr>
    <w:tblStylePr w:type="lastCol">
      <w:rPr>
        <w:rFonts w:ascii="Arial" w:hAnsi="Arial"/>
        <w:i/>
        <w:color w:val="2D611B" w:themeColor="accent6" w:themeShade="95"/>
        <w:sz w:val="22"/>
      </w:rPr>
      <w:tblPr/>
      <w:tcPr>
        <w:tcBorders>
          <w:top w:val="none" w:sz="0" w:space="0" w:color="auto"/>
          <w:left w:val="single" w:sz="4" w:space="0" w:color="94DA7B" w:themeColor="accent6" w:themeTint="90"/>
          <w:bottom w:val="none" w:sz="0" w:space="0" w:color="auto"/>
          <w:right w:val="none" w:sz="0" w:space="0" w:color="auto"/>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la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la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la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la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la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la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shd w:val="clear" w:color="156082" w:themeColor="accent1" w:fill="156082" w:themeFill="accent1"/>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156082" w:themeColor="accent1"/>
        <w:bottom w:val="single" w:sz="4" w:space="0" w:color="156082" w:themeColor="accent1"/>
      </w:tblBorders>
    </w:tblPr>
    <w:tblStylePr w:type="firstRow">
      <w:rPr>
        <w:b/>
        <w:color w:val="0C374B" w:themeColor="accent1" w:themeShade="95"/>
      </w:rPr>
      <w:tblPr/>
      <w:tcPr>
        <w:tcBorders>
          <w:bottom w:val="single" w:sz="4" w:space="0" w:color="156082" w:themeColor="accent1"/>
        </w:tcBorders>
      </w:tcPr>
    </w:tblStylePr>
    <w:tblStylePr w:type="lastRow">
      <w:rPr>
        <w:b/>
        <w:color w:val="0C374B" w:themeColor="accent1" w:themeShade="95"/>
      </w:rPr>
      <w:tblPr/>
      <w:tcPr>
        <w:tcBorders>
          <w:top w:val="single" w:sz="4" w:space="0" w:color="156082" w:themeColor="accent1"/>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2AA85" w:themeColor="accent2" w:themeTint="97"/>
        <w:bottom w:val="single" w:sz="4" w:space="0" w:color="F2AA85" w:themeColor="accent2" w:themeTint="97"/>
      </w:tblBorders>
    </w:tblPr>
    <w:tblStylePr w:type="firstRow">
      <w:rPr>
        <w:b/>
        <w:color w:val="F2AA85" w:themeColor="accent2" w:themeTint="97" w:themeShade="95"/>
      </w:rPr>
      <w:tblPr/>
      <w:tcPr>
        <w:tcBorders>
          <w:bottom w:val="single" w:sz="4" w:space="0" w:color="F2AA85" w:themeColor="accent2" w:themeTint="97"/>
        </w:tcBorders>
      </w:tcPr>
    </w:tblStylePr>
    <w:tblStylePr w:type="lastRow">
      <w:rPr>
        <w:b/>
        <w:color w:val="F2AA85" w:themeColor="accent2" w:themeTint="97" w:themeShade="95"/>
      </w:rPr>
      <w:tblPr/>
      <w:tcPr>
        <w:tcBorders>
          <w:top w:val="single" w:sz="4" w:space="0" w:color="F2AA85" w:themeColor="accent2" w:themeTint="97"/>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48D45B" w:themeColor="accent3" w:themeTint="98"/>
        <w:bottom w:val="single" w:sz="4" w:space="0" w:color="48D45B" w:themeColor="accent3" w:themeTint="98"/>
      </w:tblBorders>
    </w:tblPr>
    <w:tblStylePr w:type="firstRow">
      <w:rPr>
        <w:b/>
        <w:color w:val="48D45B" w:themeColor="accent3" w:themeTint="98" w:themeShade="95"/>
      </w:rPr>
      <w:tblPr/>
      <w:tcPr>
        <w:tcBorders>
          <w:bottom w:val="single" w:sz="4" w:space="0" w:color="48D45B" w:themeColor="accent3" w:themeTint="98"/>
        </w:tcBorders>
      </w:tcPr>
    </w:tblStylePr>
    <w:tblStylePr w:type="lastRow">
      <w:rPr>
        <w:b/>
        <w:color w:val="48D45B" w:themeColor="accent3" w:themeTint="98" w:themeShade="95"/>
      </w:rPr>
      <w:tblPr/>
      <w:tcPr>
        <w:tcBorders>
          <w:top w:val="single" w:sz="4" w:space="0" w:color="48D45B" w:themeColor="accent3" w:themeTint="98"/>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5FCAF3" w:themeColor="accent4" w:themeTint="9A"/>
        <w:bottom w:val="single" w:sz="4" w:space="0" w:color="5FCAF3" w:themeColor="accent4" w:themeTint="9A"/>
      </w:tblBorders>
    </w:tblPr>
    <w:tblStylePr w:type="firstRow">
      <w:rPr>
        <w:b/>
        <w:color w:val="5FCAF3" w:themeColor="accent4" w:themeTint="9A" w:themeShade="95"/>
      </w:rPr>
      <w:tblPr/>
      <w:tcPr>
        <w:tcBorders>
          <w:bottom w:val="single" w:sz="4" w:space="0" w:color="5FCAF3" w:themeColor="accent4" w:themeTint="9A"/>
        </w:tcBorders>
      </w:tcPr>
    </w:tblStylePr>
    <w:tblStylePr w:type="lastRow">
      <w:rPr>
        <w:b/>
        <w:color w:val="5FCAF3" w:themeColor="accent4" w:themeTint="9A" w:themeShade="95"/>
      </w:rPr>
      <w:tblPr/>
      <w:tcPr>
        <w:tcBorders>
          <w:top w:val="single" w:sz="4" w:space="0" w:color="5FCAF3" w:themeColor="accent4" w:themeTint="9A"/>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D76CCB" w:themeColor="accent5" w:themeTint="9A"/>
        <w:bottom w:val="single" w:sz="4" w:space="0" w:color="D76CCB" w:themeColor="accent5" w:themeTint="9A"/>
      </w:tblBorders>
    </w:tblPr>
    <w:tblStylePr w:type="firstRow">
      <w:rPr>
        <w:b/>
        <w:color w:val="D76CCB" w:themeColor="accent5" w:themeTint="9A" w:themeShade="95"/>
      </w:rPr>
      <w:tblPr/>
      <w:tcPr>
        <w:tcBorders>
          <w:bottom w:val="single" w:sz="4" w:space="0" w:color="D76CCB" w:themeColor="accent5" w:themeTint="9A"/>
        </w:tcBorders>
      </w:tcPr>
    </w:tblStylePr>
    <w:tblStylePr w:type="lastRow">
      <w:rPr>
        <w:b/>
        <w:color w:val="D76CCB" w:themeColor="accent5" w:themeTint="9A" w:themeShade="95"/>
      </w:rPr>
      <w:tblPr/>
      <w:tcPr>
        <w:tcBorders>
          <w:top w:val="single" w:sz="4" w:space="0" w:color="D76CCB" w:themeColor="accent5" w:themeTint="9A"/>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8ED873" w:themeColor="accent6" w:themeTint="98"/>
        <w:bottom w:val="single" w:sz="4" w:space="0" w:color="8ED873" w:themeColor="accent6" w:themeTint="98"/>
      </w:tblBorders>
    </w:tblPr>
    <w:tblStylePr w:type="firstRow">
      <w:rPr>
        <w:b/>
        <w:color w:val="8ED873" w:themeColor="accent6" w:themeTint="98" w:themeShade="95"/>
      </w:rPr>
      <w:tblPr/>
      <w:tcPr>
        <w:tcBorders>
          <w:bottom w:val="single" w:sz="4" w:space="0" w:color="8ED873" w:themeColor="accent6" w:themeTint="98"/>
        </w:tcBorders>
      </w:tcPr>
    </w:tblStylePr>
    <w:tblStylePr w:type="lastRow">
      <w:rPr>
        <w:b/>
        <w:color w:val="8ED873" w:themeColor="accent6" w:themeTint="98" w:themeShade="95"/>
      </w:rPr>
      <w:tblPr/>
      <w:tcPr>
        <w:tcBorders>
          <w:top w:val="single" w:sz="4" w:space="0" w:color="8ED873" w:themeColor="accent6" w:themeTint="98"/>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156082" w:themeColor="accent1"/>
      </w:tblBorders>
    </w:tblPr>
    <w:tblStylePr w:type="firstRow">
      <w:rPr>
        <w:rFonts w:ascii="Arial" w:hAnsi="Arial"/>
        <w:i/>
        <w:color w:val="0C374B" w:themeColor="accent1" w:themeShade="95"/>
        <w:sz w:val="22"/>
      </w:rPr>
      <w:tblPr/>
      <w:tcPr>
        <w:tcBorders>
          <w:top w:val="none" w:sz="0" w:space="0" w:color="auto"/>
          <w:left w:val="none" w:sz="0" w:space="0" w:color="auto"/>
          <w:bottom w:val="single" w:sz="4" w:space="0" w:color="156082" w:themeColor="accent1"/>
          <w:right w:val="none" w:sz="0" w:space="0" w:color="auto"/>
        </w:tcBorders>
        <w:shd w:val="clear" w:color="FFFFFF" w:themeColor="light1" w:fill="FFFFFF" w:themeFill="light1"/>
      </w:tcPr>
    </w:tblStylePr>
    <w:tblStylePr w:type="lastRow">
      <w:rPr>
        <w:rFonts w:ascii="Arial" w:hAnsi="Arial"/>
        <w:i/>
        <w:color w:val="0C374B" w:themeColor="accent1" w:themeShade="95"/>
        <w:sz w:val="22"/>
      </w:rPr>
      <w:tblPr/>
      <w:tcPr>
        <w:tcBorders>
          <w:top w:val="single" w:sz="4" w:space="0" w:color="156082"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sz="0" w:space="0" w:color="auto"/>
          <w:left w:val="none" w:sz="0" w:space="0" w:color="auto"/>
          <w:bottom w:val="none" w:sz="0" w:space="0" w:color="auto"/>
          <w:right w:val="single" w:sz="4" w:space="0" w:color="156082" w:themeColor="accent1"/>
        </w:tcBorders>
        <w:shd w:val="clear" w:color="FFFFFF" w:fill="auto"/>
      </w:tcPr>
    </w:tblStylePr>
    <w:tblStylePr w:type="lastCol">
      <w:rPr>
        <w:rFonts w:ascii="Arial" w:hAnsi="Arial"/>
        <w:i/>
        <w:color w:val="0C374B" w:themeColor="accent1" w:themeShade="95"/>
        <w:sz w:val="22"/>
      </w:rPr>
      <w:tblPr/>
      <w:tcPr>
        <w:tcBorders>
          <w:top w:val="none" w:sz="0" w:space="0" w:color="auto"/>
          <w:left w:val="single" w:sz="4" w:space="0" w:color="156082" w:themeColor="accent1"/>
          <w:bottom w:val="none" w:sz="0" w:space="0" w:color="auto"/>
          <w:right w:val="none" w:sz="0" w:space="0" w:color="auto"/>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2AA85" w:themeColor="accent2" w:themeTint="97"/>
      </w:tblBorders>
    </w:tblPr>
    <w:tblStylePr w:type="firstRow">
      <w:rPr>
        <w:rFonts w:ascii="Arial" w:hAnsi="Arial"/>
        <w:i/>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48D45B" w:themeColor="accent3" w:themeTint="98"/>
      </w:tblBorders>
    </w:tblPr>
    <w:tblStylePr w:type="firstRow">
      <w:rPr>
        <w:rFonts w:ascii="Arial" w:hAnsi="Arial"/>
        <w:i/>
        <w:color w:val="48D45B" w:themeColor="accent3" w:themeTint="98" w:themeShade="95"/>
        <w:sz w:val="22"/>
      </w:rPr>
      <w:tblPr/>
      <w:tcPr>
        <w:tcBorders>
          <w:top w:val="none" w:sz="0" w:space="0" w:color="auto"/>
          <w:left w:val="none" w:sz="0" w:space="0" w:color="auto"/>
          <w:bottom w:val="single" w:sz="4" w:space="0" w:color="48D45B" w:themeColor="accent3" w:themeTint="98"/>
          <w:right w:val="none" w:sz="0" w:space="0" w:color="auto"/>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sz="4" w:space="0" w:color="48D45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sz="0" w:space="0" w:color="auto"/>
          <w:left w:val="none" w:sz="0" w:space="0" w:color="auto"/>
          <w:bottom w:val="none" w:sz="0" w:space="0" w:color="auto"/>
          <w:right w:val="single" w:sz="4" w:space="0" w:color="48D45B" w:themeColor="accent3" w:themeTint="98"/>
        </w:tcBorders>
        <w:shd w:val="clear" w:color="FFFFFF" w:fill="auto"/>
      </w:tcPr>
    </w:tblStylePr>
    <w:tblStylePr w:type="lastCol">
      <w:rPr>
        <w:rFonts w:ascii="Arial" w:hAnsi="Arial"/>
        <w:i/>
        <w:color w:val="48D45B" w:themeColor="accent3" w:themeTint="98" w:themeShade="95"/>
        <w:sz w:val="22"/>
      </w:rPr>
      <w:tblPr/>
      <w:tcPr>
        <w:tcBorders>
          <w:top w:val="none" w:sz="0" w:space="0" w:color="auto"/>
          <w:left w:val="single" w:sz="4" w:space="0" w:color="48D45B" w:themeColor="accent3" w:themeTint="98"/>
          <w:bottom w:val="none" w:sz="0" w:space="0" w:color="auto"/>
          <w:right w:val="none" w:sz="0" w:space="0" w:color="auto"/>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5FCAF3" w:themeColor="accent4" w:themeTint="9A"/>
      </w:tblBorders>
    </w:tblPr>
    <w:tblStylePr w:type="firstRow">
      <w:rPr>
        <w:rFonts w:ascii="Arial" w:hAnsi="Arial"/>
        <w:i/>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D76CCB" w:themeColor="accent5" w:themeTint="9A"/>
      </w:tblBorders>
    </w:tblPr>
    <w:tblStylePr w:type="firstRow">
      <w:rPr>
        <w:rFonts w:ascii="Arial" w:hAnsi="Arial"/>
        <w:i/>
        <w:color w:val="D76CCB" w:themeColor="accent5" w:themeTint="9A" w:themeShade="95"/>
        <w:sz w:val="22"/>
      </w:rPr>
      <w:tblPr/>
      <w:tcPr>
        <w:tcBorders>
          <w:top w:val="none" w:sz="0" w:space="0" w:color="auto"/>
          <w:left w:val="none" w:sz="0" w:space="0" w:color="auto"/>
          <w:bottom w:val="single" w:sz="4" w:space="0" w:color="D76CCB" w:themeColor="accent5" w:themeTint="9A"/>
          <w:right w:val="none" w:sz="0" w:space="0" w:color="auto"/>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sz="4" w:space="0" w:color="D76CC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sz="0" w:space="0" w:color="auto"/>
          <w:left w:val="none" w:sz="0" w:space="0" w:color="auto"/>
          <w:bottom w:val="none" w:sz="0" w:space="0" w:color="auto"/>
          <w:right w:val="single" w:sz="4" w:space="0" w:color="D76CCB" w:themeColor="accent5" w:themeTint="9A"/>
        </w:tcBorders>
        <w:shd w:val="clear" w:color="FFFFFF" w:fill="auto"/>
      </w:tcPr>
    </w:tblStylePr>
    <w:tblStylePr w:type="lastCol">
      <w:rPr>
        <w:rFonts w:ascii="Arial" w:hAnsi="Arial"/>
        <w:i/>
        <w:color w:val="D76CCB" w:themeColor="accent5" w:themeTint="9A" w:themeShade="95"/>
        <w:sz w:val="22"/>
      </w:rPr>
      <w:tblPr/>
      <w:tcPr>
        <w:tcBorders>
          <w:top w:val="none" w:sz="0" w:space="0" w:color="auto"/>
          <w:left w:val="single" w:sz="4" w:space="0" w:color="D76CCB" w:themeColor="accent5" w:themeTint="9A"/>
          <w:bottom w:val="none" w:sz="0" w:space="0" w:color="auto"/>
          <w:right w:val="none" w:sz="0" w:space="0" w:color="auto"/>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8ED873" w:themeColor="accent6" w:themeTint="98"/>
      </w:tblBorders>
    </w:tblPr>
    <w:tblStylePr w:type="firstRow">
      <w:rPr>
        <w:rFonts w:ascii="Arial" w:hAnsi="Arial"/>
        <w:i/>
        <w:color w:val="8ED873" w:themeColor="accent6" w:themeTint="98" w:themeShade="95"/>
        <w:sz w:val="22"/>
      </w:rPr>
      <w:tblPr/>
      <w:tcPr>
        <w:tcBorders>
          <w:top w:val="none" w:sz="0" w:space="0" w:color="auto"/>
          <w:left w:val="none" w:sz="0" w:space="0" w:color="auto"/>
          <w:bottom w:val="single" w:sz="4" w:space="0" w:color="8ED873" w:themeColor="accent6" w:themeTint="98"/>
          <w:right w:val="none" w:sz="0" w:space="0" w:color="auto"/>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sz="4" w:space="0" w:color="8ED873"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sz="0" w:space="0" w:color="auto"/>
          <w:left w:val="none" w:sz="0" w:space="0" w:color="auto"/>
          <w:bottom w:val="none" w:sz="0" w:space="0" w:color="auto"/>
          <w:right w:val="single" w:sz="4" w:space="0" w:color="8ED873" w:themeColor="accent6" w:themeTint="98"/>
        </w:tcBorders>
        <w:shd w:val="clear" w:color="FFFFFF" w:fill="auto"/>
      </w:tcPr>
    </w:tblStylePr>
    <w:tblStylePr w:type="lastCol">
      <w:rPr>
        <w:rFonts w:ascii="Arial" w:hAnsi="Arial"/>
        <w:i/>
        <w:color w:val="8ED873" w:themeColor="accent6" w:themeTint="98" w:themeShade="95"/>
        <w:sz w:val="22"/>
      </w:rPr>
      <w:tblPr/>
      <w:tcPr>
        <w:tcBorders>
          <w:top w:val="none" w:sz="0" w:space="0" w:color="auto"/>
          <w:left w:val="single" w:sz="4" w:space="0" w:color="8ED873" w:themeColor="accent6" w:themeTint="98"/>
          <w:bottom w:val="none" w:sz="0" w:space="0" w:color="auto"/>
          <w:right w:val="none" w:sz="0" w:space="0" w:color="auto"/>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0F4761"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0F476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0F476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0F4761" w:themeColor="accent1" w:themeShade="BF"/>
    </w:rPr>
  </w:style>
  <w:style w:type="character" w:customStyle="1" w:styleId="Heading5Char">
    <w:name w:val="Heading 5 Char"/>
    <w:basedOn w:val="DefaultParagraphFont"/>
    <w:link w:val="Heading5"/>
    <w:uiPriority w:val="9"/>
    <w:rPr>
      <w:rFonts w:ascii="Arial" w:eastAsia="Arial" w:hAnsi="Arial" w:cs="Arial"/>
      <w:color w:val="0F476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ind w:left="46" w:hanging="10"/>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Pr>
      <w:color w:val="96607D"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FDAE159-E05D-4CB1-8F04-7AC7B563024D}">
  <ds:schemaRefs>
    <ds:schemaRef ds:uri="http://schemas.microsoft.com/sharepoint/v3/contenttype/forms"/>
  </ds:schemaRefs>
</ds:datastoreItem>
</file>

<file path=customXml/itemProps2.xml><?xml version="1.0" encoding="utf-8"?>
<ds:datastoreItem xmlns:ds="http://schemas.openxmlformats.org/officeDocument/2006/customXml" ds:itemID="{2DF2DC98-1871-47ED-AACD-9D52A3A2E6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1FCF88-11FB-40C6-8A1D-F7087AEF46BA}">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888</Words>
  <Characters>5062</Characters>
  <Application>Microsoft Office Word</Application>
  <DocSecurity>0</DocSecurity>
  <Lines>42</Lines>
  <Paragraphs>11</Paragraphs>
  <ScaleCrop>false</ScaleCrop>
  <Company/>
  <LinksUpToDate>false</LinksUpToDate>
  <CharactersWithSpaces>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Fayyaz</cp:lastModifiedBy>
  <cp:revision>5</cp:revision>
  <dcterms:created xsi:type="dcterms:W3CDTF">2024-04-04T16:01:00Z</dcterms:created>
  <dcterms:modified xsi:type="dcterms:W3CDTF">2025-06-28T20:36:00Z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