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2FB46">
      <w:pPr>
        <w:pStyle w:val="2"/>
      </w:pPr>
      <w:bookmarkStart w:id="0" w:name="_Toc428882558"/>
      <w:r>
        <w:t xml:space="preserve">Activity: </w:t>
      </w:r>
      <w:bookmarkEnd w:id="0"/>
      <w:r>
        <w:t>Safety Recommendations</w:t>
      </w:r>
    </w:p>
    <w:p w14:paraId="2A676AF6">
      <w:pPr>
        <w:pStyle w:val="3"/>
      </w:pPr>
      <w:r>
        <w:t>Purpose:</w:t>
      </w:r>
    </w:p>
    <w:p w14:paraId="4EB2232F">
      <w:pPr>
        <w:rPr>
          <w:iCs/>
        </w:rPr>
      </w:pPr>
      <w:r>
        <w:rPr>
          <w:sz w:val="24"/>
          <w:szCs w:val="24"/>
        </w:rPr>
        <w:t xml:space="preserve">This activity will </w:t>
      </w:r>
      <w:r>
        <w:rPr>
          <w:iCs/>
        </w:rPr>
        <w:t>enhance the student’s understanding of the safety guidelines in place to protect technologists and patients from unnecessary and over-excessive radiation.</w:t>
      </w:r>
    </w:p>
    <w:p w14:paraId="077888D4"/>
    <w:p w14:paraId="653C1DCA">
      <w:pPr>
        <w:pStyle w:val="3"/>
      </w:pPr>
      <w:r>
        <w:t>Instructions:</w:t>
      </w:r>
    </w:p>
    <w:p w14:paraId="362318B7">
      <w:pPr>
        <w:pStyle w:val="25"/>
        <w:numPr>
          <w:ilvl w:val="0"/>
          <w:numId w:val="1"/>
        </w:numPr>
        <w:spacing w:after="160" w:line="259" w:lineRule="auto"/>
        <w:rPr>
          <w:iCs/>
        </w:rPr>
      </w:pPr>
      <w:r>
        <w:rPr>
          <w:iCs/>
        </w:rPr>
        <w:t xml:space="preserve">Review the following section of the Health Canada Safety Code 35 (SC 35) retrieved from </w:t>
      </w:r>
      <w:r>
        <w:fldChar w:fldCharType="begin"/>
      </w:r>
      <w:r>
        <w:instrText xml:space="preserve"> HYPERLINK "http://www.hc-sc.gc.ca/ewh-semt/pubs/radiation/safety-code_35-securite/index-eng.php" \l "sa33" </w:instrText>
      </w:r>
      <w:r>
        <w:fldChar w:fldCharType="separate"/>
      </w:r>
      <w:r>
        <w:rPr>
          <w:rStyle w:val="16"/>
          <w:iCs/>
        </w:rPr>
        <w:t>http://www.hc-sc.gc.ca/ewh-semt/pubs/radiation/safety-code_35-securite/index-eng.php#sa33</w:t>
      </w:r>
      <w:r>
        <w:rPr>
          <w:rStyle w:val="16"/>
          <w:iCs/>
        </w:rPr>
        <w:fldChar w:fldCharType="end"/>
      </w:r>
      <w:r>
        <w:rPr>
          <w:iCs/>
        </w:rPr>
        <w:t xml:space="preserve">. </w:t>
      </w:r>
    </w:p>
    <w:p w14:paraId="292F1489">
      <w:pPr>
        <w:pStyle w:val="25"/>
        <w:numPr>
          <w:ilvl w:val="0"/>
          <w:numId w:val="1"/>
        </w:numPr>
        <w:spacing w:after="120"/>
        <w:rPr>
          <w:iCs/>
        </w:rPr>
      </w:pPr>
      <w:r>
        <w:rPr>
          <w:iCs/>
        </w:rPr>
        <w:t>In class, discuss the guidelines and reason(s) for each with fellow students and instructor.</w:t>
      </w:r>
    </w:p>
    <w:p w14:paraId="0E338492">
      <w:pPr>
        <w:spacing w:after="160" w:line="259" w:lineRule="auto"/>
        <w:ind w:left="360"/>
        <w:rPr>
          <w:iCs/>
        </w:rPr>
      </w:pPr>
    </w:p>
    <w:p w14:paraId="44CD06AC">
      <w:pPr>
        <w:spacing w:after="160" w:line="259" w:lineRule="auto"/>
        <w:ind w:left="360"/>
        <w:rPr>
          <w:b/>
          <w:bCs/>
          <w:sz w:val="24"/>
          <w:lang w:val="en"/>
        </w:rPr>
      </w:pPr>
      <w:bookmarkStart w:id="1" w:name="a33"/>
      <w:bookmarkEnd w:id="1"/>
      <w:r>
        <w:rPr>
          <w:b/>
          <w:bCs/>
          <w:sz w:val="24"/>
          <w:lang w:val="en"/>
        </w:rPr>
        <w:t>3.3 Guidelines for Carrying Out X-ray Examinations</w:t>
      </w:r>
    </w:p>
    <w:p w14:paraId="0885DE10">
      <w:pPr>
        <w:spacing w:after="160" w:line="259" w:lineRule="auto"/>
        <w:ind w:left="360"/>
        <w:rPr>
          <w:lang w:val="en"/>
        </w:rPr>
      </w:pPr>
      <w:r>
        <w:rPr>
          <w:lang w:val="en"/>
        </w:rPr>
        <w:t>Next to elimination of unnecessary X-ray examinations, the most significant factor in reducing patient exposure is ensuring that only necessary examinations are performed with good technique. It is possible, for example, to obtain a series of diagnostically-acceptable radiographs and have the patient exposures vary widely because of choice of technique and loading factors used. It is the responsibility of the operator and radiologist to be aware of this and to know how to carry out a prescribed examination with the lowest possible exposure to the patient.</w:t>
      </w:r>
    </w:p>
    <w:p w14:paraId="12A4BCAB">
      <w:pPr>
        <w:spacing w:after="160" w:line="259" w:lineRule="auto"/>
        <w:ind w:left="360"/>
        <w:rPr>
          <w:lang w:val="en"/>
        </w:rPr>
      </w:pPr>
      <w:r>
        <w:rPr>
          <w:lang w:val="en"/>
        </w:rPr>
        <w:t>The requirements and recommendations that follow are intended to provide guidance to the operator and radiologist in exercising their responsibility toward reduction of patient exposure.</w:t>
      </w:r>
    </w:p>
    <w:p w14:paraId="54E6B015">
      <w:pPr>
        <w:spacing w:after="160" w:line="259" w:lineRule="auto"/>
        <w:ind w:left="360"/>
        <w:rPr>
          <w:b/>
          <w:bCs/>
          <w:lang w:val="en"/>
        </w:rPr>
      </w:pPr>
      <w:bookmarkStart w:id="2" w:name="a331"/>
      <w:bookmarkEnd w:id="2"/>
      <w:r>
        <w:rPr>
          <w:b/>
          <w:bCs/>
          <w:lang w:val="en"/>
        </w:rPr>
        <w:t>3.3.1 General Requirements and Recommendations</w:t>
      </w:r>
    </w:p>
    <w:p w14:paraId="30FDE5CE">
      <w:pPr>
        <w:numPr>
          <w:ilvl w:val="0"/>
          <w:numId w:val="2"/>
        </w:numPr>
        <w:spacing w:after="160" w:line="259" w:lineRule="auto"/>
        <w:rPr>
          <w:lang w:val="en"/>
        </w:rPr>
      </w:pPr>
      <w:r>
        <w:rPr>
          <w:lang w:val="en"/>
        </w:rPr>
        <w:t xml:space="preserve">The operator must not perform any examination which has not been prescribed. </w:t>
      </w:r>
    </w:p>
    <w:p w14:paraId="1765D0F4">
      <w:pPr>
        <w:numPr>
          <w:ilvl w:val="0"/>
          <w:numId w:val="2"/>
        </w:numPr>
        <w:spacing w:after="160" w:line="259" w:lineRule="auto"/>
        <w:rPr>
          <w:lang w:val="en"/>
        </w:rPr>
      </w:pPr>
      <w:r>
        <w:rPr>
          <w:lang w:val="en"/>
        </w:rPr>
        <w:t>The exposure of the patient must be kept to the lowest practicable value, consistent with clinical objectives and without loss of essential diagnostic information. To achieve</w:t>
      </w:r>
      <w:bookmarkStart w:id="3" w:name="_GoBack"/>
      <w:bookmarkEnd w:id="3"/>
      <w:r>
        <w:rPr>
          <w:lang w:val="en"/>
        </w:rPr>
        <w:t xml:space="preserve"> this, techniques appropriate to the equipment available should be used. </w:t>
      </w:r>
    </w:p>
    <w:p w14:paraId="380DCE33">
      <w:pPr>
        <w:numPr>
          <w:ilvl w:val="0"/>
          <w:numId w:val="2"/>
        </w:numPr>
        <w:spacing w:after="160" w:line="259" w:lineRule="auto"/>
        <w:rPr>
          <w:lang w:val="en"/>
        </w:rPr>
      </w:pPr>
      <w:r>
        <w:rPr>
          <w:lang w:val="en"/>
        </w:rPr>
        <w:t xml:space="preserve">Particular care, consistent with the recommendations of </w:t>
      </w:r>
      <w:r>
        <w:fldChar w:fldCharType="begin"/>
      </w:r>
      <w:r>
        <w:instrText xml:space="preserve"> HYPERLINK "http://www.hc-sc.gc.ca/ewh-semt/pubs/radiation/safety-code_35-securite/section-a3-eng.php" \l "a32#a32" \o "3.2 Guidelines for Radiological Examinations of Pregnant Women" </w:instrText>
      </w:r>
      <w:r>
        <w:fldChar w:fldCharType="separate"/>
      </w:r>
      <w:r>
        <w:rPr>
          <w:rStyle w:val="16"/>
          <w:lang w:val="en"/>
        </w:rPr>
        <w:t>section A3.2</w:t>
      </w:r>
      <w:r>
        <w:rPr>
          <w:rStyle w:val="16"/>
          <w:lang w:val="en"/>
        </w:rPr>
        <w:fldChar w:fldCharType="end"/>
      </w:r>
      <w:r>
        <w:rPr>
          <w:lang w:val="en"/>
        </w:rPr>
        <w:t xml:space="preserve">, must be taken when radiological examinations of pregnant or potentially pregnant women are carried out. </w:t>
      </w:r>
    </w:p>
    <w:p w14:paraId="04AC3ECA">
      <w:pPr>
        <w:numPr>
          <w:ilvl w:val="0"/>
          <w:numId w:val="2"/>
        </w:numPr>
        <w:spacing w:after="160" w:line="259" w:lineRule="auto"/>
        <w:rPr>
          <w:lang w:val="en"/>
        </w:rPr>
      </w:pPr>
      <w:r>
        <w:rPr>
          <w:lang w:val="en"/>
        </w:rPr>
        <w:t xml:space="preserve">The X-ray beam must be well-collimated to restrict it as much as is practicable to the area of diagnostic interest. </w:t>
      </w:r>
    </w:p>
    <w:p w14:paraId="5EF19111">
      <w:pPr>
        <w:numPr>
          <w:ilvl w:val="0"/>
          <w:numId w:val="2"/>
        </w:numPr>
        <w:spacing w:after="160" w:line="259" w:lineRule="auto"/>
        <w:rPr>
          <w:lang w:val="en"/>
        </w:rPr>
      </w:pPr>
      <w:r>
        <w:rPr>
          <w:lang w:val="en"/>
        </w:rPr>
        <w:t xml:space="preserve">The X-ray beam size must be limited to the size of the image receptor or smaller. </w:t>
      </w:r>
    </w:p>
    <w:p w14:paraId="7457102A">
      <w:pPr>
        <w:numPr>
          <w:ilvl w:val="0"/>
          <w:numId w:val="2"/>
        </w:numPr>
        <w:spacing w:after="160" w:line="259" w:lineRule="auto"/>
        <w:rPr>
          <w:lang w:val="en"/>
        </w:rPr>
      </w:pPr>
      <w:r>
        <w:rPr>
          <w:lang w:val="en"/>
        </w:rPr>
        <w:t xml:space="preserve">For systems with multiple AEC sensors, the AEC sensor(s) covering the area of diagnostic interest should be selected. </w:t>
      </w:r>
    </w:p>
    <w:p w14:paraId="4B14170A">
      <w:pPr>
        <w:numPr>
          <w:ilvl w:val="0"/>
          <w:numId w:val="2"/>
        </w:numPr>
        <w:spacing w:after="160" w:line="259" w:lineRule="auto"/>
        <w:rPr>
          <w:lang w:val="en"/>
        </w:rPr>
      </w:pPr>
      <w:r>
        <w:rPr>
          <w:lang w:val="en"/>
        </w:rPr>
        <w:t xml:space="preserve">The X-ray beam should not be directed toward the gonads unless it is absolutely essential, in which case gonads shields must be used whenever the value of the examination is not impaired by such use. Guidelines on the use of gonad shielding are given in </w:t>
      </w:r>
      <w:r>
        <w:fldChar w:fldCharType="begin"/>
      </w:r>
      <w:r>
        <w:instrText xml:space="preserve"> HYPERLINK "http://www.hc-sc.gc.ca/ewh-semt/pubs/radiation/safety-code_35-securite/section-a3-eng.php" \l "a34#a34" \o "3.4 Guidelines for Reduction of Dose to Sensitive Tissues" </w:instrText>
      </w:r>
      <w:r>
        <w:fldChar w:fldCharType="separate"/>
      </w:r>
      <w:r>
        <w:rPr>
          <w:rStyle w:val="16"/>
          <w:lang w:val="en"/>
        </w:rPr>
        <w:t>section A3.4</w:t>
      </w:r>
      <w:r>
        <w:rPr>
          <w:rStyle w:val="16"/>
          <w:lang w:val="en"/>
        </w:rPr>
        <w:fldChar w:fldCharType="end"/>
      </w:r>
      <w:r>
        <w:rPr>
          <w:lang w:val="en"/>
        </w:rPr>
        <w:t xml:space="preserve"> of this Code. </w:t>
      </w:r>
    </w:p>
    <w:p w14:paraId="5CC4B72B">
      <w:pPr>
        <w:numPr>
          <w:ilvl w:val="0"/>
          <w:numId w:val="2"/>
        </w:numPr>
        <w:spacing w:after="160" w:line="259" w:lineRule="auto"/>
        <w:rPr>
          <w:lang w:val="en"/>
        </w:rPr>
      </w:pPr>
      <w:r>
        <w:rPr>
          <w:lang w:val="en"/>
        </w:rPr>
        <w:t xml:space="preserve">Shielding must be used where appropriate and practicable to limit the exposure of body tissues. It is particularly important that special effort be made to protect the blood forming organs, gonads and thyroid of children. </w:t>
      </w:r>
    </w:p>
    <w:p w14:paraId="01B3D2FA">
      <w:pPr>
        <w:numPr>
          <w:ilvl w:val="0"/>
          <w:numId w:val="2"/>
        </w:numPr>
        <w:spacing w:after="160" w:line="259" w:lineRule="auto"/>
        <w:rPr>
          <w:lang w:val="en"/>
        </w:rPr>
      </w:pPr>
      <w:r>
        <w:rPr>
          <w:lang w:val="en"/>
        </w:rPr>
        <w:t xml:space="preserve">The focal spot-to-skin distance should be as large as possible, consistent with good radiographic technique. </w:t>
      </w:r>
    </w:p>
    <w:p w14:paraId="6AB178F0">
      <w:pPr>
        <w:numPr>
          <w:ilvl w:val="0"/>
          <w:numId w:val="2"/>
        </w:numPr>
        <w:spacing w:after="160" w:line="259" w:lineRule="auto"/>
        <w:rPr>
          <w:lang w:val="en"/>
        </w:rPr>
      </w:pPr>
      <w:r>
        <w:rPr>
          <w:lang w:val="en"/>
        </w:rPr>
        <w:t xml:space="preserve">Radiological examinations of infants and children should only be performed using techniques and loading factors which have been modified for size and age. </w:t>
      </w:r>
    </w:p>
    <w:p w14:paraId="35799144">
      <w:pPr>
        <w:numPr>
          <w:ilvl w:val="0"/>
          <w:numId w:val="2"/>
        </w:numPr>
        <w:spacing w:after="160" w:line="259" w:lineRule="auto"/>
        <w:rPr>
          <w:lang w:val="en"/>
        </w:rPr>
      </w:pPr>
      <w:r>
        <w:rPr>
          <w:lang w:val="en"/>
        </w:rPr>
        <w:t xml:space="preserve">For very young children, special devices should be employed to restrict movement. </w:t>
      </w:r>
    </w:p>
    <w:p w14:paraId="13C6B4C6">
      <w:pPr>
        <w:numPr>
          <w:ilvl w:val="0"/>
          <w:numId w:val="2"/>
        </w:numPr>
        <w:spacing w:after="160" w:line="259" w:lineRule="auto"/>
        <w:rPr>
          <w:lang w:val="en"/>
        </w:rPr>
      </w:pPr>
      <w:r>
        <w:rPr>
          <w:lang w:val="en"/>
        </w:rPr>
        <w:t xml:space="preserve">Full details of the radiological procedures carried out should be noted on the patient's clinical records. </w:t>
      </w:r>
    </w:p>
    <w:p w14:paraId="4911C5F4">
      <w:pPr>
        <w:numPr>
          <w:ilvl w:val="0"/>
          <w:numId w:val="2"/>
        </w:numPr>
        <w:spacing w:after="160" w:line="259" w:lineRule="auto"/>
        <w:rPr>
          <w:lang w:val="en"/>
        </w:rPr>
      </w:pPr>
      <w:r>
        <w:rPr>
          <w:lang w:val="en"/>
        </w:rPr>
        <w:t xml:space="preserve">All images captured, whether on film or on digital imaging systems, must remain with the patient study unless they are rejected by the operator for valid predefined quality issues. All rejected images must be collected for use during routine rejection analysis. The facility must have a program established to prevent the total loss of any images without review for reject analysis. </w:t>
      </w:r>
    </w:p>
    <w:p w14:paraId="368D4555">
      <w:pPr>
        <w:spacing w:after="160" w:line="259" w:lineRule="auto"/>
        <w:ind w:left="360"/>
        <w:rPr>
          <w:iCs/>
        </w:rPr>
      </w:pPr>
    </w:p>
    <w:p w14:paraId="64A994AF">
      <w:pPr>
        <w:widowControl w:val="0"/>
        <w:tabs>
          <w:tab w:val="left" w:pos="461"/>
        </w:tabs>
        <w:spacing w:before="59"/>
      </w:pPr>
    </w:p>
    <w:p w14:paraId="6AB1A26F"/>
    <w:sectPr>
      <w:headerReference r:id="rId6" w:type="first"/>
      <w:footerReference r:id="rId8" w:type="first"/>
      <w:headerReference r:id="rId5" w:type="default"/>
      <w:footerReference r:id="rId7"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5000" w:type="pct"/>
      <w:tblInd w:w="0" w:type="dxa"/>
      <w:tblBorders>
        <w:top w:val="single" w:color="005EB8" w:sz="18" w:space="0"/>
        <w:left w:val="none" w:color="auto" w:sz="0" w:space="0"/>
        <w:bottom w:val="none" w:color="auto" w:sz="0" w:space="0"/>
        <w:right w:val="none" w:color="auto" w:sz="0" w:space="0"/>
        <w:insideH w:val="single" w:color="808080" w:sz="18" w:space="0"/>
        <w:insideV w:val="single" w:color="005EB8" w:sz="18" w:space="0"/>
      </w:tblBorders>
      <w:tblLayout w:type="autofit"/>
      <w:tblCellMar>
        <w:top w:w="0" w:type="dxa"/>
        <w:left w:w="108" w:type="dxa"/>
        <w:bottom w:w="0" w:type="dxa"/>
        <w:right w:w="108" w:type="dxa"/>
      </w:tblCellMar>
    </w:tblPr>
    <w:tblGrid>
      <w:gridCol w:w="993"/>
      <w:gridCol w:w="8583"/>
    </w:tblGrid>
    <w:tr w14:paraId="6FE4E203">
      <w:tblPrEx>
        <w:tblBorders>
          <w:top w:val="single" w:color="005EB8" w:sz="18" w:space="0"/>
          <w:left w:val="none" w:color="auto" w:sz="0" w:space="0"/>
          <w:bottom w:val="none" w:color="auto" w:sz="0" w:space="0"/>
          <w:right w:val="none" w:color="auto" w:sz="0" w:space="0"/>
          <w:insideH w:val="single" w:color="808080" w:sz="18" w:space="0"/>
          <w:insideV w:val="single" w:color="005EB8" w:sz="18" w:space="0"/>
        </w:tblBorders>
        <w:tblCellMar>
          <w:top w:w="0" w:type="dxa"/>
          <w:left w:w="108" w:type="dxa"/>
          <w:bottom w:w="0" w:type="dxa"/>
          <w:right w:w="108" w:type="dxa"/>
        </w:tblCellMar>
      </w:tblPrEx>
      <w:tc>
        <w:tcPr>
          <w:tcW w:w="918" w:type="dxa"/>
        </w:tcPr>
        <w:p w14:paraId="654D9932">
          <w:pPr>
            <w:pStyle w:val="38"/>
          </w:pPr>
          <w:r>
            <w:fldChar w:fldCharType="begin"/>
          </w:r>
          <w:r>
            <w:instrText xml:space="preserve"> PAGE   \* MERGEFORMAT </w:instrText>
          </w:r>
          <w:r>
            <w:fldChar w:fldCharType="separate"/>
          </w:r>
          <w:r>
            <w:t>1</w:t>
          </w:r>
          <w:r>
            <w:fldChar w:fldCharType="end"/>
          </w:r>
        </w:p>
      </w:tc>
      <w:tc>
        <w:tcPr>
          <w:tcW w:w="7938" w:type="dxa"/>
        </w:tcPr>
        <w:p w14:paraId="6CFB11DE">
          <w:pPr>
            <w:pStyle w:val="14"/>
            <w:spacing w:after="60"/>
          </w:pPr>
          <w:r>
            <w:t>MRT – RADP 215: Radiation Protection</w:t>
          </w:r>
        </w:p>
        <w:p w14:paraId="76E95167">
          <w:pPr>
            <w:pStyle w:val="43"/>
          </w:pPr>
          <w:r>
            <w:t xml:space="preserve">© </w:t>
          </w:r>
          <w:r>
            <w:rPr>
              <w:rFonts w:hint="default"/>
              <w:lang w:val="en-US"/>
            </w:rPr>
            <w:t>Eden Brook</w:t>
          </w:r>
          <w:r>
            <w:t xml:space="preserve"> College</w:t>
          </w:r>
        </w:p>
      </w:tc>
    </w:tr>
  </w:tbl>
  <w:p w14:paraId="3ABF883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15707">
    <w:pPr>
      <w:pStyle w:val="14"/>
    </w:pPr>
    <w:r>
      <w:pict>
        <v:rect id="_x0000_i1027" o:spt="1" style="height:2pt;width:468pt;" fillcolor="#D52B00" filled="t" stroked="f" coordsize="21600,21600" o:hr="t" o:hrstd="t" o:hrnoshade="t" o:hralign="center">
          <v:path/>
          <v:fill on="t" focussize="0,0"/>
          <v:stroke on="f"/>
          <v:imagedata o:title=""/>
          <o:lock v:ext="edit"/>
          <w10:wrap type="none"/>
          <w10:anchorlock/>
        </v:rect>
      </w:pict>
    </w:r>
  </w:p>
  <w:p w14:paraId="56E6B513">
    <w:pPr>
      <w:pStyle w:val="14"/>
    </w:pPr>
    <w:r>
      <w:fldChar w:fldCharType="begin"/>
    </w:r>
    <w:r>
      <w:instrText xml:space="preserve"> PAGE   \* MERGEFORMAT </w:instrText>
    </w:r>
    <w:r>
      <w:fldChar w:fldCharType="separate"/>
    </w:r>
    <w:r>
      <w:t>1</w:t>
    </w:r>
    <w:r>
      <w:fldChar w:fldCharType="end"/>
    </w:r>
    <w:r>
      <w:rPr>
        <w:color w:val="4F81BD"/>
      </w:rPr>
      <w:t xml:space="preserve">     </w:t>
    </w:r>
    <w:r>
      <w:t>| School Name: Course Code/Name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CD415">
    <w:pPr>
      <w:pStyle w:val="19"/>
      <w:spacing w:after="0"/>
    </w:pPr>
    <w:r>
      <w:drawing>
        <wp:inline distT="0" distB="0" distL="114300" distR="114300">
          <wp:extent cx="996950" cy="1066800"/>
          <wp:effectExtent l="0" t="0" r="6350" b="0"/>
          <wp:docPr id="2" name="Picture 2" descr="WhatsApp Image 2025-06-06 at 00.46.41_e487cf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hatsApp Image 2025-06-06 at 00.46.41_e487cfc4"/>
                  <pic:cNvPicPr>
                    <a:picLocks noChangeAspect="1"/>
                  </pic:cNvPicPr>
                </pic:nvPicPr>
                <pic:blipFill>
                  <a:blip r:embed="rId1"/>
                  <a:stretch>
                    <a:fillRect/>
                  </a:stretch>
                </pic:blipFill>
                <pic:spPr>
                  <a:xfrm>
                    <a:off x="0" y="0"/>
                    <a:ext cx="996950" cy="1066800"/>
                  </a:xfrm>
                  <a:prstGeom prst="rect">
                    <a:avLst/>
                  </a:prstGeom>
                </pic:spPr>
              </pic:pic>
            </a:graphicData>
          </a:graphic>
        </wp:inline>
      </w:drawing>
    </w:r>
    <w:r>
      <w:t>Radiation Protection</w:t>
    </w:r>
  </w:p>
  <w:p w14:paraId="1FF11EAB">
    <w:r>
      <w:pict>
        <v:rect id="_x0000_i1025" o:spt="1" style="height:2pt;width:468pt;" fillcolor="#005EB8" filled="t" stroked="f" coordsize="21600,21600" o:hr="t" o:hrstd="t" o:hrnoshade="t" o:hralign="center">
          <v:path/>
          <v:fill on="t" focussize="0,0"/>
          <v:stroke on="f"/>
          <v:imagedata o:title=""/>
          <o:lock v:ext="edit"/>
          <w10:wrap type="none"/>
          <w10:anchorlock/>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ADA63">
    <w:pPr>
      <w:pStyle w:val="2"/>
    </w:pPr>
    <w:r>
      <w:t>Title of Assignment</w:t>
    </w:r>
  </w:p>
  <w:p w14:paraId="5ACA6E26">
    <w:pPr>
      <w:pStyle w:val="2"/>
    </w:pPr>
    <w:r>
      <w:pict>
        <v:rect id="_x0000_i1026" o:spt="1" style="height:2pt;width:468pt;" fillcolor="#D52B00" filled="t" stroked="f" coordsize="21600,21600" o:hr="t" o:hrstd="t" o:hrnoshade="t" o:hralign="center">
          <v:path/>
          <v:fill on="t" focussize="0,0"/>
          <v:stroke on="f"/>
          <v:imagedata o:title=""/>
          <o:lock v:ext="edit"/>
          <w10:wrap type="none"/>
          <w10:anchorlock/>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581D62"/>
    <w:multiLevelType w:val="multilevel"/>
    <w:tmpl w:val="1C581D6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73B11DFD"/>
    <w:multiLevelType w:val="multilevel"/>
    <w:tmpl w:val="73B11DF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ocumentProtection w:enforcement="0"/>
  <w:defaultTabStop w:val="720"/>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37BE2"/>
    <w:rsid w:val="00056EB3"/>
    <w:rsid w:val="00084F35"/>
    <w:rsid w:val="00091176"/>
    <w:rsid w:val="000A0EF1"/>
    <w:rsid w:val="000A1751"/>
    <w:rsid w:val="000C07E6"/>
    <w:rsid w:val="000E629E"/>
    <w:rsid w:val="001121B3"/>
    <w:rsid w:val="00137471"/>
    <w:rsid w:val="00155FC6"/>
    <w:rsid w:val="001562E6"/>
    <w:rsid w:val="00193977"/>
    <w:rsid w:val="001B4E94"/>
    <w:rsid w:val="001B5F24"/>
    <w:rsid w:val="001E4EC8"/>
    <w:rsid w:val="001F6765"/>
    <w:rsid w:val="001F7047"/>
    <w:rsid w:val="00201395"/>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55975"/>
    <w:rsid w:val="00365E0F"/>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551"/>
    <w:rsid w:val="00443D09"/>
    <w:rsid w:val="0046251E"/>
    <w:rsid w:val="00487E03"/>
    <w:rsid w:val="004A064B"/>
    <w:rsid w:val="004A20E5"/>
    <w:rsid w:val="004A49D7"/>
    <w:rsid w:val="004B2F05"/>
    <w:rsid w:val="004C644D"/>
    <w:rsid w:val="004D7013"/>
    <w:rsid w:val="00506F10"/>
    <w:rsid w:val="00547645"/>
    <w:rsid w:val="0057613F"/>
    <w:rsid w:val="00581308"/>
    <w:rsid w:val="005A00CF"/>
    <w:rsid w:val="005A00D4"/>
    <w:rsid w:val="005A400E"/>
    <w:rsid w:val="005A49D5"/>
    <w:rsid w:val="005A6DC8"/>
    <w:rsid w:val="005F1C05"/>
    <w:rsid w:val="00615268"/>
    <w:rsid w:val="00643C50"/>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70B75"/>
    <w:rsid w:val="007727CA"/>
    <w:rsid w:val="007824E1"/>
    <w:rsid w:val="007A0C0A"/>
    <w:rsid w:val="007D4876"/>
    <w:rsid w:val="007D7483"/>
    <w:rsid w:val="007E4B13"/>
    <w:rsid w:val="007F30BD"/>
    <w:rsid w:val="007F3A9C"/>
    <w:rsid w:val="008413F7"/>
    <w:rsid w:val="00863BBC"/>
    <w:rsid w:val="00885D1F"/>
    <w:rsid w:val="0089441D"/>
    <w:rsid w:val="0089643D"/>
    <w:rsid w:val="008A1B0D"/>
    <w:rsid w:val="008B75E2"/>
    <w:rsid w:val="008C24A5"/>
    <w:rsid w:val="008D15AB"/>
    <w:rsid w:val="008E7F29"/>
    <w:rsid w:val="008F6C01"/>
    <w:rsid w:val="008F774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46E46"/>
    <w:rsid w:val="00A60D05"/>
    <w:rsid w:val="00A65958"/>
    <w:rsid w:val="00A73204"/>
    <w:rsid w:val="00AB46E8"/>
    <w:rsid w:val="00AB7115"/>
    <w:rsid w:val="00AB73A2"/>
    <w:rsid w:val="00AE0010"/>
    <w:rsid w:val="00AE45E5"/>
    <w:rsid w:val="00B07581"/>
    <w:rsid w:val="00B325FB"/>
    <w:rsid w:val="00B422C7"/>
    <w:rsid w:val="00B4759A"/>
    <w:rsid w:val="00B47F54"/>
    <w:rsid w:val="00B55E90"/>
    <w:rsid w:val="00B55EFD"/>
    <w:rsid w:val="00B60736"/>
    <w:rsid w:val="00B6746D"/>
    <w:rsid w:val="00B67CA5"/>
    <w:rsid w:val="00B7474A"/>
    <w:rsid w:val="00B93910"/>
    <w:rsid w:val="00B97220"/>
    <w:rsid w:val="00BA66C6"/>
    <w:rsid w:val="00BE1FBA"/>
    <w:rsid w:val="00BE4F95"/>
    <w:rsid w:val="00BE78B7"/>
    <w:rsid w:val="00BF5FD7"/>
    <w:rsid w:val="00BF6690"/>
    <w:rsid w:val="00C01DF6"/>
    <w:rsid w:val="00C025AE"/>
    <w:rsid w:val="00C02B77"/>
    <w:rsid w:val="00C11328"/>
    <w:rsid w:val="00C12FC0"/>
    <w:rsid w:val="00C377AA"/>
    <w:rsid w:val="00C40250"/>
    <w:rsid w:val="00C52993"/>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17664"/>
    <w:rsid w:val="00E21072"/>
    <w:rsid w:val="00E31E56"/>
    <w:rsid w:val="00E33967"/>
    <w:rsid w:val="00E57837"/>
    <w:rsid w:val="00E66AA4"/>
    <w:rsid w:val="00E81D33"/>
    <w:rsid w:val="00E85192"/>
    <w:rsid w:val="00EA53AB"/>
    <w:rsid w:val="00EB48BD"/>
    <w:rsid w:val="00EC5EED"/>
    <w:rsid w:val="00ED0004"/>
    <w:rsid w:val="00EF0BCB"/>
    <w:rsid w:val="00EF52B4"/>
    <w:rsid w:val="00F4480B"/>
    <w:rsid w:val="00F60180"/>
    <w:rsid w:val="00F707F7"/>
    <w:rsid w:val="00F728E2"/>
    <w:rsid w:val="00FC1C45"/>
    <w:rsid w:val="00FC351B"/>
    <w:rsid w:val="00FE232D"/>
    <w:rsid w:val="48DF5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uiPriority="9" w:name="heading 4"/>
    <w:lsdException w:qFormat="1" w:uiPriority="9" w:name="heading 5"/>
    <w:lsdException w:qFormat="1" w:uiPriority="9" w:name="heading 6"/>
    <w:lsdException w:qFormat="1" w:uiPriority="9" w:name="heading 7"/>
    <w:lsdException w:qFormat="1" w:unhideWhenUsed="0" w:uiPriority="0" w:semiHidden="0" w:name="heading 8"/>
    <w:lsdException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Times New Roman" w:cs="Arial"/>
      <w:sz w:val="22"/>
      <w:szCs w:val="22"/>
      <w:lang w:val="en-US" w:eastAsia="en-US" w:bidi="ar-SA"/>
    </w:rPr>
  </w:style>
  <w:style w:type="paragraph" w:styleId="2">
    <w:name w:val="heading 1"/>
    <w:basedOn w:val="1"/>
    <w:next w:val="3"/>
    <w:link w:val="20"/>
    <w:autoRedefine/>
    <w:qFormat/>
    <w:uiPriority w:val="9"/>
    <w:pPr>
      <w:keepNext/>
      <w:keepLines/>
      <w:spacing w:before="360" w:after="120"/>
      <w:jc w:val="center"/>
      <w:outlineLvl w:val="0"/>
    </w:pPr>
    <w:rPr>
      <w:b/>
      <w:bCs/>
      <w:sz w:val="24"/>
    </w:rPr>
  </w:style>
  <w:style w:type="paragraph" w:styleId="3">
    <w:name w:val="heading 2"/>
    <w:basedOn w:val="1"/>
    <w:next w:val="1"/>
    <w:link w:val="21"/>
    <w:unhideWhenUsed/>
    <w:qFormat/>
    <w:uiPriority w:val="9"/>
    <w:pPr>
      <w:keepNext/>
      <w:keepLines/>
      <w:spacing w:before="240" w:after="60"/>
      <w:outlineLvl w:val="1"/>
    </w:pPr>
    <w:rPr>
      <w:b/>
      <w:bCs/>
      <w:sz w:val="24"/>
      <w:szCs w:val="28"/>
    </w:rPr>
  </w:style>
  <w:style w:type="paragraph" w:styleId="4">
    <w:name w:val="heading 3"/>
    <w:basedOn w:val="1"/>
    <w:next w:val="1"/>
    <w:link w:val="27"/>
    <w:unhideWhenUsed/>
    <w:qFormat/>
    <w:uiPriority w:val="9"/>
    <w:pPr>
      <w:keepNext/>
      <w:keepLines/>
      <w:spacing w:before="240" w:after="60"/>
      <w:outlineLvl w:val="2"/>
    </w:pPr>
    <w:rPr>
      <w:b/>
      <w:bCs/>
      <w:sz w:val="26"/>
    </w:rPr>
  </w:style>
  <w:style w:type="paragraph" w:styleId="5">
    <w:name w:val="heading 5"/>
    <w:basedOn w:val="1"/>
    <w:next w:val="1"/>
    <w:link w:val="44"/>
    <w:semiHidden/>
    <w:unhideWhenUsed/>
    <w:qFormat/>
    <w:uiPriority w:val="9"/>
    <w:pPr>
      <w:keepNext/>
      <w:keepLines/>
      <w:spacing w:before="40"/>
      <w:outlineLvl w:val="4"/>
    </w:pPr>
    <w:rPr>
      <w:rFonts w:asciiTheme="majorHAnsi" w:hAnsiTheme="majorHAnsi" w:eastAsiaTheme="majorEastAsia" w:cstheme="majorBidi"/>
      <w:color w:val="376092" w:themeColor="accent1" w:themeShade="BF"/>
    </w:rPr>
  </w:style>
  <w:style w:type="paragraph" w:styleId="6">
    <w:name w:val="heading 8"/>
    <w:basedOn w:val="1"/>
    <w:next w:val="1"/>
    <w:link w:val="26"/>
    <w:qFormat/>
    <w:uiPriority w:val="0"/>
    <w:pPr>
      <w:spacing w:before="240" w:after="60" w:line="240" w:lineRule="auto"/>
      <w:outlineLvl w:val="7"/>
    </w:pPr>
    <w:rPr>
      <w:i/>
      <w:iCs/>
      <w:szCs w:val="24"/>
      <w:lang w:val="en-CA"/>
    </w:rPr>
  </w:style>
  <w:style w:type="paragraph" w:styleId="7">
    <w:name w:val="heading 9"/>
    <w:basedOn w:val="1"/>
    <w:next w:val="1"/>
    <w:link w:val="28"/>
    <w:unhideWhenUsed/>
    <w:uiPriority w:val="9"/>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4"/>
    <w:semiHidden/>
    <w:unhideWhenUsed/>
    <w:qFormat/>
    <w:uiPriority w:val="99"/>
    <w:pPr>
      <w:spacing w:line="240" w:lineRule="auto"/>
    </w:pPr>
    <w:rPr>
      <w:rFonts w:ascii="Tahoma" w:hAnsi="Tahoma" w:cs="Tahoma"/>
      <w:sz w:val="16"/>
      <w:szCs w:val="16"/>
    </w:rPr>
  </w:style>
  <w:style w:type="character" w:styleId="11">
    <w:name w:val="annotation reference"/>
    <w:basedOn w:val="8"/>
    <w:semiHidden/>
    <w:unhideWhenUsed/>
    <w:qFormat/>
    <w:uiPriority w:val="99"/>
    <w:rPr>
      <w:sz w:val="16"/>
      <w:szCs w:val="16"/>
    </w:rPr>
  </w:style>
  <w:style w:type="paragraph" w:styleId="12">
    <w:name w:val="annotation text"/>
    <w:basedOn w:val="1"/>
    <w:link w:val="32"/>
    <w:semiHidden/>
    <w:unhideWhenUsed/>
    <w:qFormat/>
    <w:uiPriority w:val="99"/>
    <w:pPr>
      <w:spacing w:line="240" w:lineRule="auto"/>
    </w:pPr>
    <w:rPr>
      <w:sz w:val="20"/>
      <w:szCs w:val="20"/>
    </w:rPr>
  </w:style>
  <w:style w:type="paragraph" w:styleId="13">
    <w:name w:val="annotation subject"/>
    <w:basedOn w:val="12"/>
    <w:next w:val="12"/>
    <w:link w:val="33"/>
    <w:semiHidden/>
    <w:unhideWhenUsed/>
    <w:qFormat/>
    <w:uiPriority w:val="99"/>
    <w:rPr>
      <w:b/>
      <w:bCs/>
    </w:rPr>
  </w:style>
  <w:style w:type="paragraph" w:styleId="14">
    <w:name w:val="footer"/>
    <w:basedOn w:val="1"/>
    <w:link w:val="23"/>
    <w:unhideWhenUsed/>
    <w:uiPriority w:val="99"/>
    <w:pPr>
      <w:tabs>
        <w:tab w:val="center" w:pos="4680"/>
        <w:tab w:val="right" w:pos="9360"/>
      </w:tabs>
      <w:spacing w:before="60" w:line="240" w:lineRule="auto"/>
    </w:pPr>
    <w:rPr>
      <w:b/>
      <w:sz w:val="20"/>
      <w:szCs w:val="20"/>
    </w:rPr>
  </w:style>
  <w:style w:type="paragraph" w:styleId="15">
    <w:name w:val="header"/>
    <w:basedOn w:val="1"/>
    <w:link w:val="22"/>
    <w:unhideWhenUsed/>
    <w:qFormat/>
    <w:uiPriority w:val="99"/>
    <w:pPr>
      <w:tabs>
        <w:tab w:val="center" w:pos="4680"/>
        <w:tab w:val="right" w:pos="9360"/>
      </w:tabs>
      <w:spacing w:line="240" w:lineRule="auto"/>
    </w:pPr>
  </w:style>
  <w:style w:type="character" w:styleId="16">
    <w:name w:val="Hyperlink"/>
    <w:basedOn w:val="8"/>
    <w:unhideWhenUsed/>
    <w:uiPriority w:val="99"/>
    <w:rPr>
      <w:color w:val="0000FF" w:themeColor="hyperlink"/>
      <w:u w:val="single"/>
      <w14:textFill>
        <w14:solidFill>
          <w14:schemeClr w14:val="hlink"/>
        </w14:solidFill>
      </w14:textFill>
    </w:rPr>
  </w:style>
  <w:style w:type="character" w:styleId="17">
    <w:name w:val="Strong"/>
    <w:basedOn w:val="8"/>
    <w:qFormat/>
    <w:uiPriority w:val="22"/>
    <w:rPr>
      <w:b/>
      <w:bCs/>
    </w:rPr>
  </w:style>
  <w:style w:type="table" w:styleId="18">
    <w:name w:val="Table Grid"/>
    <w:basedOn w:val="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
    <w:name w:val="Title"/>
    <w:basedOn w:val="1"/>
    <w:next w:val="1"/>
    <w:link w:val="30"/>
    <w:qFormat/>
    <w:uiPriority w:val="10"/>
    <w:pPr>
      <w:spacing w:after="300"/>
      <w:jc w:val="right"/>
    </w:pPr>
    <w:rPr>
      <w:b/>
      <w:smallCaps/>
      <w:sz w:val="32"/>
    </w:rPr>
  </w:style>
  <w:style w:type="character" w:customStyle="1" w:styleId="20">
    <w:name w:val="Heading 1 Char"/>
    <w:basedOn w:val="8"/>
    <w:link w:val="2"/>
    <w:qFormat/>
    <w:uiPriority w:val="9"/>
    <w:rPr>
      <w:rFonts w:eastAsia="Times New Roman" w:cs="Arial"/>
      <w:b/>
      <w:bCs/>
      <w:sz w:val="24"/>
      <w:szCs w:val="22"/>
    </w:rPr>
  </w:style>
  <w:style w:type="character" w:customStyle="1" w:styleId="21">
    <w:name w:val="Heading 2 Char"/>
    <w:basedOn w:val="8"/>
    <w:link w:val="3"/>
    <w:uiPriority w:val="9"/>
    <w:rPr>
      <w:rFonts w:eastAsia="Times New Roman" w:cs="Arial"/>
      <w:b/>
      <w:bCs/>
      <w:sz w:val="24"/>
      <w:szCs w:val="28"/>
    </w:rPr>
  </w:style>
  <w:style w:type="character" w:customStyle="1" w:styleId="22">
    <w:name w:val="Header Char"/>
    <w:basedOn w:val="8"/>
    <w:link w:val="15"/>
    <w:qFormat/>
    <w:uiPriority w:val="99"/>
    <w:rPr>
      <w:rFonts w:ascii="Calibri" w:hAnsi="Calibri"/>
      <w:sz w:val="24"/>
    </w:rPr>
  </w:style>
  <w:style w:type="character" w:customStyle="1" w:styleId="23">
    <w:name w:val="Footer Char"/>
    <w:basedOn w:val="8"/>
    <w:link w:val="14"/>
    <w:qFormat/>
    <w:uiPriority w:val="99"/>
    <w:rPr>
      <w:rFonts w:eastAsia="Times New Roman" w:cs="Arial"/>
      <w:b/>
    </w:rPr>
  </w:style>
  <w:style w:type="character" w:customStyle="1" w:styleId="24">
    <w:name w:val="Balloon Text Char"/>
    <w:basedOn w:val="8"/>
    <w:link w:val="10"/>
    <w:semiHidden/>
    <w:qFormat/>
    <w:uiPriority w:val="99"/>
    <w:rPr>
      <w:rFonts w:ascii="Tahoma" w:hAnsi="Tahoma" w:cs="Tahoma"/>
      <w:sz w:val="16"/>
      <w:szCs w:val="16"/>
    </w:rPr>
  </w:style>
  <w:style w:type="paragraph" w:styleId="25">
    <w:name w:val="List Paragraph"/>
    <w:basedOn w:val="1"/>
    <w:qFormat/>
    <w:uiPriority w:val="34"/>
    <w:pPr>
      <w:ind w:left="720"/>
      <w:contextualSpacing/>
    </w:pPr>
  </w:style>
  <w:style w:type="character" w:customStyle="1" w:styleId="26">
    <w:name w:val="Heading 8 Char"/>
    <w:basedOn w:val="8"/>
    <w:link w:val="6"/>
    <w:qFormat/>
    <w:uiPriority w:val="0"/>
    <w:rPr>
      <w:rFonts w:eastAsia="Times New Roman"/>
      <w:i/>
      <w:iCs/>
      <w:sz w:val="24"/>
      <w:szCs w:val="24"/>
      <w:lang w:val="en-CA"/>
    </w:rPr>
  </w:style>
  <w:style w:type="character" w:customStyle="1" w:styleId="27">
    <w:name w:val="Heading 3 Char"/>
    <w:basedOn w:val="8"/>
    <w:link w:val="4"/>
    <w:qFormat/>
    <w:uiPriority w:val="9"/>
    <w:rPr>
      <w:rFonts w:eastAsia="Times New Roman" w:cs="Arial"/>
      <w:b/>
      <w:bCs/>
      <w:sz w:val="26"/>
      <w:szCs w:val="22"/>
    </w:rPr>
  </w:style>
  <w:style w:type="character" w:customStyle="1" w:styleId="28">
    <w:name w:val="Heading 9 Char"/>
    <w:basedOn w:val="8"/>
    <w:link w:val="7"/>
    <w:qFormat/>
    <w:uiPriority w:val="9"/>
    <w:rPr>
      <w:rFonts w:asciiTheme="majorHAnsi" w:hAnsiTheme="majorHAnsi" w:eastAsiaTheme="majorEastAsia" w:cstheme="majorBidi"/>
      <w:i/>
      <w:iCs/>
      <w:color w:val="262626" w:themeColor="text1" w:themeTint="D9"/>
      <w:kern w:val="32"/>
      <w:sz w:val="21"/>
      <w:szCs w:val="21"/>
      <w14:textFill>
        <w14:solidFill>
          <w14:schemeClr w14:val="tx1">
            <w14:lumMod w14:val="85000"/>
            <w14:lumOff w14:val="15000"/>
          </w14:schemeClr>
        </w14:solidFill>
      </w14:textFill>
    </w:rPr>
  </w:style>
  <w:style w:type="paragraph" w:customStyle="1" w:styleId="29">
    <w:name w:val="Source"/>
    <w:basedOn w:val="1"/>
    <w:qFormat/>
    <w:uiPriority w:val="0"/>
    <w:pPr>
      <w:ind w:right="1440"/>
      <w:jc w:val="right"/>
    </w:pPr>
    <w:rPr>
      <w:sz w:val="20"/>
      <w:szCs w:val="24"/>
    </w:rPr>
  </w:style>
  <w:style w:type="character" w:customStyle="1" w:styleId="30">
    <w:name w:val="Title Char"/>
    <w:basedOn w:val="8"/>
    <w:link w:val="19"/>
    <w:qFormat/>
    <w:uiPriority w:val="10"/>
    <w:rPr>
      <w:b/>
      <w:smallCaps/>
      <w:color w:val="000000"/>
      <w:kern w:val="32"/>
      <w:sz w:val="32"/>
      <w:szCs w:val="32"/>
    </w:rPr>
  </w:style>
  <w:style w:type="paragraph" w:customStyle="1" w:styleId="31">
    <w:name w:val="table text"/>
    <w:basedOn w:val="1"/>
    <w:qFormat/>
    <w:uiPriority w:val="0"/>
    <w:pPr>
      <w:spacing w:before="120"/>
    </w:pPr>
  </w:style>
  <w:style w:type="character" w:customStyle="1" w:styleId="32">
    <w:name w:val="Comment Text Char"/>
    <w:basedOn w:val="8"/>
    <w:link w:val="12"/>
    <w:semiHidden/>
    <w:qFormat/>
    <w:uiPriority w:val="99"/>
    <w:rPr>
      <w:color w:val="000000"/>
      <w:kern w:val="32"/>
    </w:rPr>
  </w:style>
  <w:style w:type="character" w:customStyle="1" w:styleId="33">
    <w:name w:val="Comment Subject Char"/>
    <w:basedOn w:val="32"/>
    <w:link w:val="13"/>
    <w:semiHidden/>
    <w:qFormat/>
    <w:uiPriority w:val="99"/>
    <w:rPr>
      <w:b/>
      <w:bCs/>
      <w:color w:val="000000"/>
      <w:kern w:val="32"/>
    </w:rPr>
  </w:style>
  <w:style w:type="paragraph" w:customStyle="1" w:styleId="34">
    <w:name w:val="Revision"/>
    <w:hidden/>
    <w:semiHidden/>
    <w:qFormat/>
    <w:uiPriority w:val="99"/>
    <w:rPr>
      <w:rFonts w:ascii="Arial" w:hAnsi="Arial" w:eastAsia="Calibri" w:cs="Times New Roman"/>
      <w:color w:val="000000"/>
      <w:kern w:val="32"/>
      <w:sz w:val="22"/>
      <w:szCs w:val="32"/>
      <w:lang w:val="en-US" w:eastAsia="en-US" w:bidi="ar-SA"/>
    </w:rPr>
  </w:style>
  <w:style w:type="table" w:customStyle="1" w:styleId="35">
    <w:name w:val="Table Grid1"/>
    <w:basedOn w:val="9"/>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SAIT Caption"/>
    <w:basedOn w:val="1"/>
    <w:qFormat/>
    <w:uiPriority w:val="0"/>
    <w:pPr>
      <w:spacing w:before="120" w:after="120"/>
      <w:jc w:val="center"/>
    </w:pPr>
    <w:rPr>
      <w:b/>
    </w:rPr>
  </w:style>
  <w:style w:type="paragraph" w:customStyle="1" w:styleId="37">
    <w:name w:val="SAIT Copyright"/>
    <w:basedOn w:val="14"/>
    <w:qFormat/>
    <w:uiPriority w:val="0"/>
    <w:rPr>
      <w:b w:val="0"/>
    </w:rPr>
  </w:style>
  <w:style w:type="paragraph" w:customStyle="1" w:styleId="38">
    <w:name w:val="Page No."/>
    <w:basedOn w:val="14"/>
    <w:qFormat/>
    <w:uiPriority w:val="0"/>
    <w:pPr>
      <w:jc w:val="right"/>
    </w:pPr>
  </w:style>
  <w:style w:type="paragraph" w:customStyle="1" w:styleId="39">
    <w:name w:val="Table Heading"/>
    <w:basedOn w:val="1"/>
    <w:qFormat/>
    <w:uiPriority w:val="0"/>
    <w:pPr>
      <w:spacing w:before="60" w:after="60"/>
      <w:jc w:val="center"/>
    </w:pPr>
    <w:rPr>
      <w:b/>
    </w:rPr>
  </w:style>
  <w:style w:type="paragraph" w:customStyle="1" w:styleId="40">
    <w:name w:val="Table Text"/>
    <w:basedOn w:val="1"/>
    <w:qFormat/>
    <w:uiPriority w:val="0"/>
    <w:pPr>
      <w:spacing w:before="60" w:after="60"/>
    </w:pPr>
  </w:style>
  <w:style w:type="paragraph" w:customStyle="1" w:styleId="41">
    <w:name w:val="Column Heading"/>
    <w:basedOn w:val="1"/>
    <w:qFormat/>
    <w:uiPriority w:val="0"/>
    <w:pPr>
      <w:spacing w:before="60" w:after="60"/>
      <w:jc w:val="center"/>
    </w:pPr>
    <w:rPr>
      <w:b/>
    </w:rPr>
  </w:style>
  <w:style w:type="paragraph" w:customStyle="1" w:styleId="42">
    <w:name w:val="Footer Copyright"/>
    <w:basedOn w:val="37"/>
    <w:qFormat/>
    <w:uiPriority w:val="0"/>
  </w:style>
  <w:style w:type="paragraph" w:customStyle="1" w:styleId="43">
    <w:name w:val="Copyright Footer"/>
    <w:basedOn w:val="1"/>
    <w:qFormat/>
    <w:uiPriority w:val="0"/>
    <w:rPr>
      <w:sz w:val="20"/>
      <w:szCs w:val="20"/>
    </w:rPr>
  </w:style>
  <w:style w:type="character" w:customStyle="1" w:styleId="44">
    <w:name w:val="Heading 5 Char"/>
    <w:basedOn w:val="8"/>
    <w:link w:val="5"/>
    <w:semiHidden/>
    <w:uiPriority w:val="9"/>
    <w:rPr>
      <w:rFonts w:asciiTheme="majorHAnsi" w:hAnsiTheme="majorHAnsi" w:eastAsiaTheme="majorEastAsia" w:cstheme="majorBidi"/>
      <w:color w:val="376092" w:themeColor="accent1" w:themeShade="BF"/>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D96A3-E064-4E01-A0AE-398DF510AA26}">
  <ds:schemaRefs/>
</ds:datastoreItem>
</file>

<file path=docProps/app.xml><?xml version="1.0" encoding="utf-8"?>
<Properties xmlns="http://schemas.openxmlformats.org/officeDocument/2006/extended-properties" xmlns:vt="http://schemas.openxmlformats.org/officeDocument/2006/docPropsVTypes">
  <Template>Normal</Template>
  <Company>SAIT</Company>
  <Pages>2</Pages>
  <Words>596</Words>
  <Characters>3402</Characters>
  <Lines>28</Lines>
  <Paragraphs>7</Paragraphs>
  <TotalTime>0</TotalTime>
  <ScaleCrop>false</ScaleCrop>
  <LinksUpToDate>false</LinksUpToDate>
  <CharactersWithSpaces>3991</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2023-01-03T18:39:00Z</dcterms:created>
  <dc:creator>scardina</dc:creator>
  <cp:lastModifiedBy>ZIA</cp:lastModifiedBy>
  <cp:lastPrinted>2016-04-06T15:46:00Z</cp:lastPrinted>
  <dcterms:modified xsi:type="dcterms:W3CDTF">2025-06-05T20:19:45Z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3BDFCD9F790246F7B0ABBA1B0C3926BB_12</vt:lpwstr>
  </property>
</Properties>
</file>