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/>
        <w:ind/>
        <w:rPr/>
      </w:pPr>
      <w:r/>
      <w:bookmarkStart w:id="0" w:name="_Toc428882558"/>
      <w:r>
        <w:t xml:space="preserve">Activity</w:t>
      </w:r>
      <w:r>
        <w:t xml:space="preserve">: </w:t>
      </w:r>
      <w:bookmarkEnd w:id="0"/>
      <w:r>
        <w:t xml:space="preserve">Venipuncture Procedural Steps</w:t>
      </w:r>
      <w:r>
        <w:t xml:space="preserve"> Answer Key</w:t>
      </w:r>
      <w:r/>
    </w:p>
    <w:p>
      <w:pPr>
        <w:pStyle w:val="869"/>
        <w:pBdr/>
        <w:spacing/>
        <w:ind/>
        <w:rPr/>
      </w:pPr>
      <w:r>
        <w:t xml:space="preserve">Purpose:</w:t>
      </w:r>
      <w:r/>
    </w:p>
    <w:p>
      <w:pPr>
        <w:pBdr/>
        <w:spacing/>
        <w:ind/>
        <w:rPr/>
      </w:pPr>
      <w:r>
        <w:t xml:space="preserve">To </w:t>
      </w:r>
      <w:r>
        <w:t xml:space="preserve">help you to </w:t>
      </w:r>
      <w:r>
        <w:t xml:space="preserve">remember the </w:t>
      </w:r>
      <w:r>
        <w:t xml:space="preserve">correct </w:t>
      </w:r>
      <w:r>
        <w:t xml:space="preserve">order of the steps to perform a venipuncture.</w:t>
      </w:r>
      <w:r/>
    </w:p>
    <w:p>
      <w:pPr>
        <w:pStyle w:val="869"/>
        <w:pBdr/>
        <w:spacing/>
        <w:ind/>
        <w:rPr/>
      </w:pPr>
      <w:r>
        <w:t xml:space="preserve">Instructions:</w:t>
      </w:r>
      <w:r/>
    </w:p>
    <w:p>
      <w:pPr>
        <w:pStyle w:val="884"/>
        <w:numPr>
          <w:ilvl w:val="0"/>
          <w:numId w:val="14"/>
        </w:numPr>
        <w:pBdr/>
        <w:spacing/>
        <w:ind/>
        <w:rPr/>
      </w:pPr>
      <w:r>
        <w:t xml:space="preserve"> Write out all of the steps in sequential order. </w:t>
      </w:r>
      <w:r/>
    </w:p>
    <w:p>
      <w:pPr>
        <w:pStyle w:val="884"/>
        <w:numPr>
          <w:ilvl w:val="1"/>
          <w:numId w:val="14"/>
        </w:numPr>
        <w:pBdr/>
        <w:spacing/>
        <w:ind/>
        <w:rPr/>
      </w:pPr>
      <w:r>
        <w:t xml:space="preserve">These steps must be correctly completed and validated by an instructor prior to performing a venipuncture.</w:t>
      </w:r>
      <w:r/>
    </w:p>
    <w:p>
      <w:pPr>
        <w:pStyle w:val="884"/>
        <w:numPr>
          <w:ilvl w:val="1"/>
          <w:numId w:val="14"/>
        </w:numPr>
        <w:pBdr/>
        <w:spacing/>
        <w:ind/>
        <w:rPr/>
      </w:pPr>
      <w:r>
        <w:t xml:space="preserve">No reference material is allowed. </w:t>
      </w:r>
      <w:r>
        <w:t xml:space="preserve">This activity must be completed from memory.</w:t>
      </w:r>
      <w:r/>
    </w:p>
    <w:p>
      <w:pPr>
        <w:pBdr/>
        <w:spacing w:line="240" w:lineRule="auto"/>
        <w:ind/>
        <w:rPr/>
      </w:pPr>
      <w:r>
        <w:br w:type="page" w:clear="all"/>
      </w:r>
      <w:r/>
    </w:p>
    <w:p>
      <w:pPr>
        <w:pBdr/>
        <w:spacing/>
        <w:ind w:left="360"/>
        <w:rPr>
          <w:b/>
          <w:sz w:val="24"/>
        </w:rPr>
      </w:pPr>
      <w:r>
        <w:rPr>
          <w:b/>
          <w:sz w:val="24"/>
        </w:rPr>
        <w:t xml:space="preserve">Steps for performing a venipuncture</w:t>
      </w:r>
      <w:r>
        <w:rPr>
          <w:b/>
          <w:sz w:val="24"/>
        </w:rPr>
        <w:t xml:space="preserve">:</w:t>
      </w:r>
      <w:r>
        <w:rPr>
          <w:b/>
          <w:sz w:val="24"/>
        </w:rPr>
      </w:r>
    </w:p>
    <w:p>
      <w:pPr>
        <w:pBdr/>
        <w:spacing/>
        <w:ind/>
        <w:rPr/>
      </w:pPr>
      <w:r/>
      <w:r/>
    </w:p>
    <w:tbl>
      <w:tblPr>
        <w:tblW w:w="9345" w:type="dxa"/>
        <w:jc w:val="center"/>
        <w:tblBorders/>
        <w:tblLook w:val="04A0" w:firstRow="1" w:lastRow="0" w:firstColumn="1" w:lastColumn="0" w:noHBand="0" w:noVBand="1"/>
      </w:tblPr>
      <w:tblGrid>
        <w:gridCol w:w="9345"/>
      </w:tblGrid>
      <w:tr>
        <w:trPr>
          <w:jc w:val="center"/>
          <w:trHeight w:val="265"/>
        </w:trPr>
        <w:tc>
          <w:tcPr>
            <w:shd w:val="clear" w:color="000000" w:fill="c0c0c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b/>
                <w:bCs/>
              </w:rPr>
            </w:pPr>
            <w:r>
              <w:rPr>
                <w:b/>
                <w:bCs/>
              </w:rPr>
              <w:t xml:space="preserve">Patient Preparation</w:t>
            </w:r>
            <w:r>
              <w:rPr>
                <w:b/>
                <w:bCs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Wash hands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Don gloves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Introduction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Identification of patient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Explanation of procedure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Informed consent obtained/signed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2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Emotional status assessment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Prepare/inspect equipment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bfbfb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b/>
                <w:bCs/>
              </w:rPr>
            </w:pPr>
            <w:r>
              <w:rPr>
                <w:b/>
                <w:bCs/>
              </w:rPr>
              <w:t xml:space="preserve">Selection of Site</w:t>
            </w:r>
            <w:r>
              <w:rPr>
                <w:b/>
                <w:bCs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Ensure patient is comfortable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Ensure arm is supported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Correct tourniquet placement/location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Palpation of injection site by nondominant hand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Release tourniquet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bfbfb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b/>
                <w:bCs/>
              </w:rPr>
            </w:pPr>
            <w:r>
              <w:rPr>
                <w:b/>
                <w:bCs/>
              </w:rPr>
              <w:t xml:space="preserve">Puncture</w:t>
            </w:r>
            <w:r>
              <w:rPr>
                <w:b/>
                <w:bCs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Cleanse site (min 30 sec)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Retighten tourniquet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Palpation of injection site by nondominant hand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Anchor vein below puncture site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Bevel of needle facing upward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Needle angle (15-30 degrees) for insertion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/>
            </w:pPr>
            <w:r>
              <w:t xml:space="preserve">Adjust angle to advance needle</w:t>
            </w:r>
            <w:r/>
          </w:p>
        </w:tc>
      </w:tr>
      <w:tr>
        <w:trPr>
          <w:jc w:val="center"/>
          <w:trHeight w:val="312"/>
        </w:trPr>
        <w:tc>
          <w:tcPr>
            <w:shd w:val="clear" w:color="000000" w:fill="bfbfb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b/>
                <w:bCs/>
              </w:rPr>
            </w:pPr>
            <w:r>
              <w:rPr>
                <w:b/>
                <w:bCs/>
              </w:rPr>
              <w:t xml:space="preserve">Confirm and Secure Needle</w:t>
            </w:r>
            <w:r>
              <w:rPr>
                <w:b/>
                <w:bCs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Observe retrograde flow of blood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Release tourniquet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Advance catheter into vein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Apply pressure above insertion site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Retract needle and dispose into sharps container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rFonts w:ascii="Calibri" w:hAnsi="Calibri" w:cs="Calibri"/>
                <w:color w:val="000000"/>
              </w:rPr>
            </w:pPr>
            <w:r>
              <w:t xml:space="preserve">Attach IV tubing or adaptor to hub of catheter</w:t>
            </w:r>
            <w:r>
              <w:rPr>
                <w:rFonts w:ascii="Calibri" w:hAnsi="Calibri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Secure the catheter in place</w:t>
            </w:r>
            <w:r>
              <w:rPr>
                <w:sz w:val="20"/>
              </w:rPr>
            </w:r>
          </w:p>
        </w:tc>
      </w:tr>
      <w:tr>
        <w:trPr>
          <w:jc w:val="center"/>
          <w:trHeight w:val="327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345" w:type="dxa"/>
            <w:textDirection w:val="lrTb"/>
            <w:noWrap/>
          </w:tcPr>
          <w:p>
            <w:pPr>
              <w:pBdr/>
              <w:spacing/>
              <w:ind/>
              <w:rPr>
                <w:sz w:val="20"/>
              </w:rPr>
            </w:pPr>
            <w:r>
              <w:t xml:space="preserve">Wash hands</w:t>
            </w:r>
            <w:r>
              <w:rPr>
                <w:sz w:val="20"/>
              </w:rPr>
            </w:r>
          </w:p>
        </w:tc>
      </w:tr>
    </w:tbl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03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80"/>
            <w:pBdr/>
            <w:spacing w:after="60"/>
            <w:ind/>
            <w:rPr/>
          </w:pPr>
          <w:r>
            <w:t xml:space="preserve">MRAD 285</w:t>
          </w:r>
          <w:r>
            <w:t xml:space="preserve">: </w:t>
          </w:r>
          <w:r>
            <w:t xml:space="preserve">Radiographic Applied Skills</w:t>
          </w:r>
          <w:r/>
          <w:r/>
          <w:r/>
          <w:r/>
        </w:p>
      </w:tc>
    </w:tr>
  </w:tbl>
  <w:p>
    <w:pPr>
      <w:pStyle w:val="88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80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  <w:pBdr/>
      <w:spacing w:after="0"/>
      <w:ind/>
      <w:jc w:val="left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>
      <w:tab/>
    </w:r>
    <w:r>
      <w:tab/>
    </w:r>
    <w:r>
      <w:tab/>
    </w:r>
    <w:r>
      <w:tab/>
    </w:r>
    <w:r>
      <w:t xml:space="preserve">Radiographic Applied Skills</w:t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68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</w:num>
  <w:num w:numId="11">
    <w:abstractNumId w:val="8"/>
  </w:num>
  <w:num w:numId="12">
    <w:abstractNumId w:val="9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67"/>
    <w:next w:val="86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67"/>
    <w:next w:val="86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67"/>
    <w:next w:val="86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67"/>
    <w:next w:val="86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67"/>
    <w:next w:val="86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67"/>
    <w:next w:val="86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67"/>
    <w:next w:val="86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6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73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67"/>
    <w:next w:val="8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6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6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67"/>
    <w:next w:val="867"/>
    <w:uiPriority w:val="39"/>
    <w:unhideWhenUsed/>
    <w:pPr>
      <w:pBdr/>
      <w:spacing w:after="100"/>
      <w:ind/>
    </w:pPr>
  </w:style>
  <w:style w:type="paragraph" w:styleId="189">
    <w:name w:val="toc 2"/>
    <w:basedOn w:val="867"/>
    <w:next w:val="867"/>
    <w:uiPriority w:val="39"/>
    <w:unhideWhenUsed/>
    <w:pPr>
      <w:pBdr/>
      <w:spacing w:after="100"/>
      <w:ind w:left="220"/>
    </w:pPr>
  </w:style>
  <w:style w:type="paragraph" w:styleId="190">
    <w:name w:val="toc 3"/>
    <w:basedOn w:val="867"/>
    <w:next w:val="867"/>
    <w:uiPriority w:val="39"/>
    <w:unhideWhenUsed/>
    <w:pPr>
      <w:pBdr/>
      <w:spacing w:after="100"/>
      <w:ind w:left="440"/>
    </w:pPr>
  </w:style>
  <w:style w:type="paragraph" w:styleId="191">
    <w:name w:val="toc 4"/>
    <w:basedOn w:val="867"/>
    <w:next w:val="867"/>
    <w:uiPriority w:val="39"/>
    <w:unhideWhenUsed/>
    <w:pPr>
      <w:pBdr/>
      <w:spacing w:after="100"/>
      <w:ind w:left="660"/>
    </w:pPr>
  </w:style>
  <w:style w:type="paragraph" w:styleId="192">
    <w:name w:val="toc 5"/>
    <w:basedOn w:val="867"/>
    <w:next w:val="867"/>
    <w:uiPriority w:val="39"/>
    <w:unhideWhenUsed/>
    <w:pPr>
      <w:pBdr/>
      <w:spacing w:after="100"/>
      <w:ind w:left="880"/>
    </w:pPr>
  </w:style>
  <w:style w:type="paragraph" w:styleId="193">
    <w:name w:val="toc 6"/>
    <w:basedOn w:val="867"/>
    <w:next w:val="867"/>
    <w:uiPriority w:val="39"/>
    <w:unhideWhenUsed/>
    <w:pPr>
      <w:pBdr/>
      <w:spacing w:after="100"/>
      <w:ind w:left="1100"/>
    </w:pPr>
  </w:style>
  <w:style w:type="paragraph" w:styleId="194">
    <w:name w:val="toc 7"/>
    <w:basedOn w:val="867"/>
    <w:next w:val="867"/>
    <w:uiPriority w:val="39"/>
    <w:unhideWhenUsed/>
    <w:pPr>
      <w:pBdr/>
      <w:spacing w:after="100"/>
      <w:ind w:left="1320"/>
    </w:pPr>
  </w:style>
  <w:style w:type="paragraph" w:styleId="195">
    <w:name w:val="toc 8"/>
    <w:basedOn w:val="867"/>
    <w:next w:val="867"/>
    <w:uiPriority w:val="39"/>
    <w:unhideWhenUsed/>
    <w:pPr>
      <w:pBdr/>
      <w:spacing w:after="100"/>
      <w:ind w:left="1540"/>
    </w:pPr>
  </w:style>
  <w:style w:type="paragraph" w:styleId="196">
    <w:name w:val="toc 9"/>
    <w:basedOn w:val="867"/>
    <w:next w:val="86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67"/>
    <w:next w:val="867"/>
    <w:uiPriority w:val="99"/>
    <w:unhideWhenUsed/>
    <w:pPr>
      <w:pBdr/>
      <w:spacing w:after="0" w:afterAutospacing="0"/>
      <w:ind/>
    </w:pPr>
  </w:style>
  <w:style w:type="paragraph" w:styleId="867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68">
    <w:name w:val="Heading 1"/>
    <w:basedOn w:val="867"/>
    <w:next w:val="869"/>
    <w:link w:val="876"/>
    <w:uiPriority w:val="9"/>
    <w:qFormat/>
    <w:pPr>
      <w:keepNext w:val="true"/>
      <w:keepLines w:val="true"/>
      <w:pBdr/>
      <w:spacing w:after="120" w:before="360"/>
      <w:ind/>
      <w:jc w:val="center"/>
      <w:outlineLvl w:val="0"/>
    </w:pPr>
    <w:rPr>
      <w:b/>
      <w:bCs/>
      <w:sz w:val="24"/>
    </w:rPr>
  </w:style>
  <w:style w:type="paragraph" w:styleId="869">
    <w:name w:val="Heading 2"/>
    <w:basedOn w:val="867"/>
    <w:next w:val="867"/>
    <w:link w:val="877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4"/>
      <w:szCs w:val="28"/>
    </w:rPr>
  </w:style>
  <w:style w:type="paragraph" w:styleId="870">
    <w:name w:val="Heading 3"/>
    <w:basedOn w:val="867"/>
    <w:next w:val="867"/>
    <w:link w:val="887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71">
    <w:name w:val="Heading 8"/>
    <w:basedOn w:val="867"/>
    <w:next w:val="867"/>
    <w:link w:val="886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72">
    <w:name w:val="Heading 9"/>
    <w:basedOn w:val="867"/>
    <w:next w:val="867"/>
    <w:link w:val="888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73" w:default="1">
    <w:name w:val="Default Paragraph Font"/>
    <w:uiPriority w:val="1"/>
    <w:semiHidden/>
    <w:unhideWhenUsed/>
    <w:pPr>
      <w:pBdr/>
      <w:spacing/>
      <w:ind/>
    </w:pPr>
  </w:style>
  <w:style w:type="table" w:styleId="8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5" w:default="1">
    <w:name w:val="No List"/>
    <w:uiPriority w:val="99"/>
    <w:semiHidden/>
    <w:unhideWhenUsed/>
    <w:pPr>
      <w:pBdr/>
      <w:spacing/>
      <w:ind/>
    </w:pPr>
  </w:style>
  <w:style w:type="character" w:styleId="876" w:customStyle="1">
    <w:name w:val="Heading 1 Char"/>
    <w:basedOn w:val="873"/>
    <w:link w:val="868"/>
    <w:uiPriority w:val="9"/>
    <w:pPr>
      <w:pBdr/>
      <w:spacing/>
      <w:ind/>
    </w:pPr>
    <w:rPr>
      <w:rFonts w:eastAsia="Times New Roman" w:cs="Arial"/>
      <w:b/>
      <w:bCs/>
      <w:sz w:val="24"/>
      <w:szCs w:val="22"/>
    </w:rPr>
  </w:style>
  <w:style w:type="character" w:styleId="877" w:customStyle="1">
    <w:name w:val="Heading 2 Char"/>
    <w:basedOn w:val="873"/>
    <w:link w:val="869"/>
    <w:uiPriority w:val="9"/>
    <w:pPr>
      <w:pBdr/>
      <w:spacing/>
      <w:ind/>
    </w:pPr>
    <w:rPr>
      <w:rFonts w:eastAsia="Times New Roman" w:cs="Arial"/>
      <w:b/>
      <w:bCs/>
      <w:sz w:val="24"/>
      <w:szCs w:val="28"/>
    </w:rPr>
  </w:style>
  <w:style w:type="paragraph" w:styleId="878">
    <w:name w:val="Header"/>
    <w:basedOn w:val="867"/>
    <w:link w:val="879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79" w:customStyle="1">
    <w:name w:val="Header Char"/>
    <w:basedOn w:val="873"/>
    <w:link w:val="878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80">
    <w:name w:val="Footer"/>
    <w:basedOn w:val="867"/>
    <w:link w:val="881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81" w:customStyle="1">
    <w:name w:val="Footer Char"/>
    <w:basedOn w:val="873"/>
    <w:link w:val="880"/>
    <w:uiPriority w:val="99"/>
    <w:pPr>
      <w:pBdr/>
      <w:spacing/>
      <w:ind/>
    </w:pPr>
    <w:rPr>
      <w:rFonts w:eastAsia="Times New Roman" w:cs="Arial"/>
      <w:b/>
    </w:rPr>
  </w:style>
  <w:style w:type="paragraph" w:styleId="882">
    <w:name w:val="Balloon Text"/>
    <w:basedOn w:val="867"/>
    <w:link w:val="883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83" w:customStyle="1">
    <w:name w:val="Balloon Text Char"/>
    <w:basedOn w:val="873"/>
    <w:link w:val="882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84">
    <w:name w:val="List Paragraph"/>
    <w:basedOn w:val="867"/>
    <w:uiPriority w:val="34"/>
    <w:qFormat/>
    <w:pPr>
      <w:pBdr/>
      <w:spacing/>
      <w:ind w:left="720"/>
      <w:contextualSpacing w:val="true"/>
    </w:pPr>
  </w:style>
  <w:style w:type="table" w:styleId="885">
    <w:name w:val="Table Grid"/>
    <w:basedOn w:val="874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6" w:customStyle="1">
    <w:name w:val="Heading 8 Char"/>
    <w:basedOn w:val="873"/>
    <w:link w:val="871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87" w:customStyle="1">
    <w:name w:val="Heading 3 Char"/>
    <w:basedOn w:val="873"/>
    <w:link w:val="870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88" w:customStyle="1">
    <w:name w:val="Heading 9 Char"/>
    <w:basedOn w:val="873"/>
    <w:link w:val="872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89" w:customStyle="1">
    <w:name w:val="Source"/>
    <w:basedOn w:val="867"/>
    <w:qFormat/>
    <w:pPr>
      <w:pBdr/>
      <w:spacing/>
      <w:ind w:right="1440"/>
      <w:jc w:val="right"/>
    </w:pPr>
    <w:rPr>
      <w:sz w:val="20"/>
      <w:szCs w:val="24"/>
    </w:rPr>
  </w:style>
  <w:style w:type="paragraph" w:styleId="890">
    <w:name w:val="Title"/>
    <w:basedOn w:val="867"/>
    <w:next w:val="867"/>
    <w:link w:val="891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91" w:customStyle="1">
    <w:name w:val="Title Char"/>
    <w:basedOn w:val="873"/>
    <w:link w:val="890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92" w:customStyle="1">
    <w:name w:val="table text"/>
    <w:basedOn w:val="867"/>
    <w:qFormat/>
    <w:pPr>
      <w:pBdr/>
      <w:spacing w:before="120"/>
      <w:ind/>
    </w:pPr>
  </w:style>
  <w:style w:type="character" w:styleId="893">
    <w:name w:val="annotation reference"/>
    <w:basedOn w:val="873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94">
    <w:name w:val="annotation text"/>
    <w:basedOn w:val="867"/>
    <w:link w:val="89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95" w:customStyle="1">
    <w:name w:val="Comment Text Char"/>
    <w:basedOn w:val="873"/>
    <w:link w:val="894"/>
    <w:uiPriority w:val="99"/>
    <w:semiHidden/>
    <w:pPr>
      <w:pBdr/>
      <w:spacing/>
      <w:ind/>
    </w:pPr>
    <w:rPr>
      <w:color w:val="000000"/>
    </w:rPr>
  </w:style>
  <w:style w:type="paragraph" w:styleId="896">
    <w:name w:val="annotation subject"/>
    <w:basedOn w:val="894"/>
    <w:next w:val="894"/>
    <w:link w:val="897"/>
    <w:uiPriority w:val="99"/>
    <w:semiHidden/>
    <w:unhideWhenUsed/>
    <w:pPr>
      <w:pBdr/>
      <w:spacing/>
      <w:ind/>
    </w:pPr>
    <w:rPr>
      <w:b/>
      <w:bCs/>
    </w:rPr>
  </w:style>
  <w:style w:type="character" w:styleId="897" w:customStyle="1">
    <w:name w:val="Comment Subject Char"/>
    <w:basedOn w:val="895"/>
    <w:link w:val="896"/>
    <w:uiPriority w:val="99"/>
    <w:semiHidden/>
    <w:pPr>
      <w:pBdr/>
      <w:spacing/>
      <w:ind/>
    </w:pPr>
    <w:rPr>
      <w:b/>
      <w:bCs/>
      <w:color w:val="000000"/>
    </w:rPr>
  </w:style>
  <w:style w:type="paragraph" w:styleId="898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899">
    <w:name w:val="Strong"/>
    <w:basedOn w:val="873"/>
    <w:uiPriority w:val="22"/>
    <w:qFormat/>
    <w:pPr>
      <w:pBdr/>
      <w:spacing/>
      <w:ind/>
    </w:pPr>
    <w:rPr>
      <w:b/>
      <w:bCs/>
    </w:rPr>
  </w:style>
  <w:style w:type="table" w:styleId="900" w:customStyle="1">
    <w:name w:val="Table Grid1"/>
    <w:basedOn w:val="874"/>
    <w:next w:val="885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customStyle="1">
    <w:name w:val="SAIT Caption"/>
    <w:basedOn w:val="867"/>
    <w:qFormat/>
    <w:pPr>
      <w:pBdr/>
      <w:spacing w:after="120" w:before="120"/>
      <w:ind/>
      <w:jc w:val="center"/>
    </w:pPr>
    <w:rPr>
      <w:b/>
    </w:rPr>
  </w:style>
  <w:style w:type="paragraph" w:styleId="902" w:customStyle="1">
    <w:name w:val="SAIT Copyright"/>
    <w:basedOn w:val="880"/>
    <w:qFormat/>
    <w:pPr>
      <w:pBdr/>
      <w:spacing/>
      <w:ind/>
    </w:pPr>
    <w:rPr>
      <w:b w:val="0"/>
    </w:rPr>
  </w:style>
  <w:style w:type="paragraph" w:styleId="903" w:customStyle="1">
    <w:name w:val="Page No."/>
    <w:basedOn w:val="880"/>
    <w:qFormat/>
    <w:pPr>
      <w:pBdr/>
      <w:spacing/>
      <w:ind/>
      <w:jc w:val="right"/>
    </w:pPr>
  </w:style>
  <w:style w:type="paragraph" w:styleId="904" w:customStyle="1">
    <w:name w:val="Table Heading"/>
    <w:basedOn w:val="867"/>
    <w:qFormat/>
    <w:pPr>
      <w:pBdr/>
      <w:spacing w:after="60" w:before="60"/>
      <w:ind/>
      <w:jc w:val="center"/>
    </w:pPr>
    <w:rPr>
      <w:b/>
    </w:rPr>
  </w:style>
  <w:style w:type="paragraph" w:styleId="905" w:customStyle="1">
    <w:name w:val="Table Text"/>
    <w:basedOn w:val="867"/>
    <w:qFormat/>
    <w:pPr>
      <w:pBdr/>
      <w:spacing w:after="60" w:before="60"/>
      <w:ind/>
    </w:pPr>
  </w:style>
  <w:style w:type="paragraph" w:styleId="906" w:customStyle="1">
    <w:name w:val="Column Heading"/>
    <w:basedOn w:val="867"/>
    <w:qFormat/>
    <w:pPr>
      <w:pBdr/>
      <w:spacing w:after="60" w:before="60"/>
      <w:ind/>
      <w:jc w:val="center"/>
    </w:pPr>
    <w:rPr>
      <w:b/>
    </w:rPr>
  </w:style>
  <w:style w:type="paragraph" w:styleId="907" w:customStyle="1">
    <w:name w:val="Footer Copyright"/>
    <w:basedOn w:val="902"/>
    <w:qFormat/>
    <w:pPr>
      <w:pBdr/>
      <w:spacing/>
      <w:ind/>
    </w:pPr>
  </w:style>
  <w:style w:type="paragraph" w:styleId="908" w:customStyle="1">
    <w:name w:val="Copyright Footer"/>
    <w:basedOn w:val="867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78A90-C99A-4853-B673-614CF0FE683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0C0001B-00D5-432A-B3CB-D0EA33069A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F964C9-35ED-4A43-B0E5-F353FFB904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57B63B-7C75-4FDA-B54D-55322AA3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