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b/>
          <w:sz w:val="24"/>
          <w:szCs w:val="24"/>
          <w:lang w:val="en-CA"/>
        </w:rPr>
      </w:pPr>
      <w:r>
        <w:rPr>
          <w:b/>
          <w:sz w:val="24"/>
          <w:szCs w:val="24"/>
          <w:lang w:val="en-CA"/>
        </w:rPr>
      </w:r>
      <w:r>
        <w:rPr>
          <w:b/>
          <w:sz w:val="24"/>
          <w:szCs w:val="24"/>
          <w:lang w:val="en-CA"/>
        </w:rPr>
      </w:r>
    </w:p>
    <w:p>
      <w:pPr>
        <w:pBdr/>
        <w:spacing/>
        <w:ind/>
        <w:jc w:val="center"/>
        <w:rPr>
          <w:b/>
          <w:sz w:val="24"/>
          <w:szCs w:val="24"/>
          <w:lang w:val="en-CA"/>
        </w:rPr>
      </w:pPr>
      <w:r>
        <w:rPr>
          <w:b/>
          <w:color w:val="c00000"/>
          <w:sz w:val="24"/>
          <w:szCs w:val="24"/>
          <w:lang w:val="en-CA"/>
        </w:rPr>
        <w:t xml:space="preserve">ANSWER KEY </w:t>
      </w:r>
      <w:r>
        <w:rPr>
          <w:b/>
          <w:sz w:val="24"/>
          <w:szCs w:val="24"/>
          <w:lang w:val="en-CA"/>
        </w:rPr>
        <w:t xml:space="preserve">Worksheet</w:t>
      </w:r>
      <w:r>
        <w:rPr>
          <w:b/>
          <w:sz w:val="24"/>
          <w:szCs w:val="24"/>
          <w:lang w:val="en-CA"/>
        </w:rPr>
        <w:t xml:space="preserve">: </w:t>
      </w:r>
      <w:r>
        <w:rPr>
          <w:b/>
          <w:sz w:val="24"/>
          <w:szCs w:val="24"/>
          <w:lang w:val="en-CA"/>
        </w:rPr>
        <w:t xml:space="preserve">Pre-</w:t>
      </w:r>
      <w:r>
        <w:rPr>
          <w:b/>
          <w:sz w:val="24"/>
          <w:szCs w:val="24"/>
          <w:lang w:val="en-CA"/>
        </w:rPr>
        <w:t xml:space="preserve">contrast </w:t>
      </w:r>
      <w:r>
        <w:rPr>
          <w:b/>
          <w:sz w:val="24"/>
          <w:szCs w:val="24"/>
          <w:lang w:val="en-CA"/>
        </w:rPr>
        <w:t xml:space="preserve">History Checklist</w:t>
      </w:r>
      <w:r>
        <w:rPr>
          <w:b/>
          <w:sz w:val="24"/>
          <w:szCs w:val="24"/>
          <w:lang w:val="en-CA"/>
        </w:rPr>
      </w:r>
    </w:p>
    <w:p>
      <w:pPr>
        <w:pBdr/>
        <w:spacing/>
        <w:ind/>
        <w:jc w:val="center"/>
        <w:rPr>
          <w:b/>
          <w:sz w:val="24"/>
          <w:szCs w:val="24"/>
          <w:lang w:val="en-CA"/>
        </w:rPr>
      </w:pPr>
      <w:r>
        <w:rPr>
          <w:b/>
          <w:sz w:val="24"/>
          <w:szCs w:val="24"/>
          <w:lang w:val="en-CA"/>
        </w:rPr>
      </w:r>
      <w:r>
        <w:rPr>
          <w:b/>
          <w:sz w:val="24"/>
          <w:szCs w:val="24"/>
          <w:lang w:val="en-CA"/>
        </w:rPr>
      </w:r>
    </w:p>
    <w:p>
      <w:pPr>
        <w:pBdr/>
        <w:spacing w:line="23" w:lineRule="atLeast"/>
        <w:ind/>
        <w:rPr>
          <w:lang w:val="en-CA"/>
        </w:rPr>
      </w:pPr>
      <w:r>
        <w:rPr>
          <w:b/>
          <w:lang w:val="en-CA"/>
        </w:rPr>
        <w:t xml:space="preserve">Purpose</w:t>
      </w:r>
      <w:r>
        <w:rPr>
          <w:b/>
          <w:lang w:val="en-CA"/>
        </w:rPr>
        <w:t xml:space="preserve">:</w:t>
      </w:r>
      <w:r>
        <w:rPr>
          <w:lang w:val="en-CA"/>
        </w:rPr>
        <w:t xml:space="preserve"> To emphasize the importance of obtaining accurate patient history regarding contrast media injections.</w:t>
      </w:r>
      <w:r>
        <w:rPr>
          <w:lang w:val="en-CA"/>
        </w:rPr>
      </w:r>
    </w:p>
    <w:p>
      <w:pPr>
        <w:pBdr/>
        <w:spacing/>
        <w:ind/>
        <w:rPr>
          <w:lang w:val="en-CA"/>
        </w:rPr>
      </w:pPr>
      <w:r>
        <w:rPr>
          <w:lang w:val="en-CA"/>
        </w:rPr>
      </w:r>
      <w:r>
        <w:rPr>
          <w:lang w:val="en-CA"/>
        </w:rPr>
      </w:r>
    </w:p>
    <w:p>
      <w:pPr>
        <w:pBdr/>
        <w:spacing/>
        <w:ind/>
        <w:rPr>
          <w:lang w:val="en-CA" w:eastAsia="en-CA"/>
        </w:rPr>
      </w:pPr>
      <w:r>
        <w:rPr>
          <w:lang w:val="en-CA" w:eastAsia="en-CA"/>
        </w:rPr>
      </w:r>
      <w:r>
        <w:rPr>
          <w:lang w:val="en-CA" w:eastAsia="en-CA"/>
        </w:rPr>
      </w:r>
    </w:p>
    <w:p>
      <w:p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  <w:t xml:space="preserve">Instructions:</w:t>
      </w:r>
      <w:r>
        <w:rPr>
          <w:b/>
          <w:lang w:val="en-CA" w:eastAsia="en-CA"/>
        </w:rPr>
      </w:r>
    </w:p>
    <w:p>
      <w:pPr>
        <w:pBdr/>
        <w:spacing/>
        <w:ind/>
        <w:rPr>
          <w:lang w:val="en-CA"/>
        </w:rPr>
      </w:pPr>
      <w:r>
        <w:rPr>
          <w:lang w:val="en-CA"/>
        </w:rPr>
      </w:r>
      <w:r>
        <w:rPr>
          <w:lang w:val="en-CA"/>
        </w:rPr>
      </w:r>
    </w:p>
    <w:p>
      <w:pPr>
        <w:pStyle w:val="850"/>
        <w:numPr>
          <w:ilvl w:val="3"/>
          <w:numId w:val="29"/>
        </w:numPr>
        <w:pBdr/>
        <w:spacing/>
        <w:ind w:left="720"/>
        <w:rPr>
          <w:lang w:val="en-CA"/>
        </w:rPr>
      </w:pPr>
      <w:r>
        <w:rPr>
          <w:lang w:val="en-CA"/>
        </w:rPr>
        <w:t xml:space="preserve">Read </w:t>
      </w:r>
      <w:r>
        <w:rPr>
          <w:lang w:val="en-CA"/>
        </w:rPr>
        <w:t xml:space="preserve">Ehrlich, R. A., &amp; </w:t>
      </w:r>
      <w:r>
        <w:rPr>
          <w:lang w:val="en-CA"/>
        </w:rPr>
        <w:t xml:space="preserve">Coakes</w:t>
      </w:r>
      <w:r>
        <w:rPr>
          <w:lang w:val="en-CA"/>
        </w:rPr>
        <w:t xml:space="preserve">, D. M. (2017</w:t>
      </w:r>
      <w:r>
        <w:rPr>
          <w:lang w:val="en-CA"/>
        </w:rPr>
        <w:t xml:space="preserve">&amp; 2021</w:t>
      </w:r>
      <w:r>
        <w:rPr>
          <w:lang w:val="en-CA"/>
        </w:rPr>
        <w:t xml:space="preserve">)</w:t>
      </w:r>
      <w:r>
        <w:rPr>
          <w:lang w:val="en-CA"/>
        </w:rPr>
        <w:t xml:space="preserve">.</w:t>
      </w:r>
      <w:r>
        <w:rPr>
          <w:lang w:val="en-CA"/>
        </w:rPr>
        <w:t xml:space="preserve"> </w:t>
      </w:r>
      <w:r>
        <w:rPr>
          <w:i/>
          <w:lang w:val="en-CA"/>
        </w:rPr>
        <w:t xml:space="preserve">Patient care in radiography: With an introduction to medical imaging </w:t>
      </w:r>
      <w:r>
        <w:rPr>
          <w:lang w:val="en-CA"/>
        </w:rPr>
        <w:t xml:space="preserve">(</w:t>
      </w:r>
      <w:r>
        <w:rPr>
          <w:color w:val="e36c0a" w:themeColor="accent6" w:themeShade="BF"/>
          <w:lang w:val="en-CA"/>
        </w:rPr>
        <w:t xml:space="preserve">9th ed., pg.359-361 </w:t>
      </w:r>
      <w:r>
        <w:rPr>
          <w:lang w:val="en-CA"/>
        </w:rPr>
        <w:t xml:space="preserve">or </w:t>
      </w:r>
      <w:r>
        <w:rPr>
          <w:color w:val="7030a0"/>
          <w:lang w:val="en-CA"/>
        </w:rPr>
        <w:t xml:space="preserve">10</w:t>
      </w:r>
      <w:r>
        <w:rPr>
          <w:color w:val="7030a0"/>
          <w:vertAlign w:val="superscript"/>
          <w:lang w:val="en-CA"/>
        </w:rPr>
        <w:t xml:space="preserve">th</w:t>
      </w:r>
      <w:r>
        <w:rPr>
          <w:color w:val="7030a0"/>
          <w:lang w:val="en-CA"/>
        </w:rPr>
        <w:t xml:space="preserve"> ed. Pg.360-362)</w:t>
      </w:r>
      <w:r>
        <w:rPr>
          <w:lang w:val="en-CA"/>
        </w:rPr>
      </w:r>
    </w:p>
    <w:p>
      <w:pPr>
        <w:pStyle w:val="850"/>
        <w:numPr>
          <w:ilvl w:val="0"/>
          <w:numId w:val="29"/>
        </w:numPr>
        <w:pBdr/>
        <w:spacing w:after="120" w:line="23" w:lineRule="atLeast"/>
        <w:ind/>
        <w:rPr>
          <w:lang w:val="en-CA"/>
        </w:rPr>
      </w:pPr>
      <w:r>
        <w:rPr>
          <w:lang w:val="en-CA"/>
        </w:rPr>
        <w:t xml:space="preserve">Answer the following questions:</w:t>
      </w:r>
      <w:r>
        <w:rPr>
          <w:lang w:val="en-CA"/>
        </w:rPr>
      </w:r>
    </w:p>
    <w:p>
      <w:pPr>
        <w:pBdr/>
        <w:spacing/>
        <w:ind/>
        <w:rPr>
          <w:lang w:val="en-CA"/>
        </w:rPr>
      </w:pPr>
      <w:r>
        <w:rPr>
          <w:lang w:val="en-CA"/>
        </w:rPr>
      </w:r>
      <w:r>
        <w:rPr>
          <w:lang w:val="en-CA"/>
        </w:rPr>
      </w:r>
    </w:p>
    <w:p>
      <w:pPr>
        <w:pStyle w:val="850"/>
        <w:widowControl w:val="false"/>
        <w:numPr>
          <w:ilvl w:val="0"/>
          <w:numId w:val="28"/>
        </w:numPr>
        <w:pBdr/>
        <w:tabs>
          <w:tab w:val="left" w:leader="none" w:pos="461"/>
        </w:tabs>
        <w:spacing w:before="59"/>
        <w:ind/>
        <w:rPr>
          <w:lang w:val="en-CA"/>
        </w:rPr>
      </w:pPr>
      <w:r>
        <w:rPr>
          <w:lang w:val="en-CA"/>
        </w:rPr>
        <w:t xml:space="preserve">If a patient is considered to be at high risk for complications when receiving an IV injection of contrast media, what are some other options for obtaining a diagnosis?</w:t>
      </w:r>
      <w:r>
        <w:rPr>
          <w:lang w:val="en-CA"/>
        </w:rPr>
      </w:r>
    </w:p>
    <w:p>
      <w:pPr>
        <w:pStyle w:val="850"/>
        <w:widowControl w:val="false"/>
        <w:pBdr/>
        <w:tabs>
          <w:tab w:val="left" w:leader="none" w:pos="461"/>
        </w:tabs>
        <w:spacing w:before="59"/>
        <w:ind/>
        <w:rPr>
          <w:color w:val="7030a0"/>
          <w:lang w:val="en-CA"/>
        </w:rPr>
      </w:pPr>
      <w:r>
        <w:rPr>
          <w:color w:val="7030a0"/>
          <w:lang w:val="en-CA"/>
        </w:rPr>
      </w:r>
      <w:r>
        <w:rPr>
          <w:color w:val="7030a0"/>
          <w:lang w:val="en-CA"/>
        </w:rPr>
      </w:r>
    </w:p>
    <w:p>
      <w:pPr>
        <w:pBdr/>
        <w:spacing/>
        <w:ind/>
        <w:rPr>
          <w:color w:val="7030a0"/>
          <w:lang w:val="en-CA"/>
        </w:rPr>
      </w:pPr>
      <w:r>
        <w:rPr>
          <w:color w:val="7030a0"/>
          <w:lang w:val="en-CA"/>
        </w:rPr>
        <w:t xml:space="preserve">ANS-The physicians consult to determine if an alternative exam can be performed that doesn’t use IV contrast media.</w:t>
      </w:r>
      <w:r>
        <w:rPr>
          <w:color w:val="7030a0"/>
          <w:lang w:val="en-CA"/>
        </w:rPr>
        <w:t xml:space="preserve"> It could </w:t>
      </w:r>
      <w:r>
        <w:rPr>
          <w:color w:val="7030a0"/>
          <w:lang w:val="en-CA"/>
        </w:rPr>
        <w:t xml:space="preserve">an</w:t>
      </w:r>
      <w:r>
        <w:rPr>
          <w:color w:val="7030a0"/>
          <w:lang w:val="en-CA"/>
        </w:rPr>
        <w:t xml:space="preserve"> </w:t>
      </w:r>
      <w:r>
        <w:rPr>
          <w:color w:val="7030a0"/>
          <w:lang w:val="en-CA"/>
        </w:rPr>
        <w:t xml:space="preserve">U/S, MRI or N.M exam instead. Also, there’s the option of pre-medicating the patient prior to the injection and monitoring them during the injection and throughout the exam.</w:t>
      </w:r>
      <w:r>
        <w:rPr>
          <w:color w:val="7030a0"/>
          <w:lang w:val="en-CA"/>
        </w:rPr>
      </w:r>
    </w:p>
    <w:p>
      <w:pPr>
        <w:pBdr/>
        <w:spacing/>
        <w:ind/>
        <w:rPr>
          <w:color w:val="7030a0"/>
          <w:lang w:val="en-CA"/>
        </w:rPr>
      </w:pPr>
      <w:r>
        <w:rPr>
          <w:color w:val="7030a0"/>
          <w:lang w:val="en-CA"/>
        </w:rPr>
      </w:r>
      <w:r>
        <w:rPr>
          <w:color w:val="7030a0"/>
          <w:lang w:val="en-CA"/>
        </w:rPr>
      </w:r>
    </w:p>
    <w:p>
      <w:pPr>
        <w:pBdr/>
        <w:spacing/>
        <w:ind/>
        <w:rPr>
          <w:lang w:val="en-CA"/>
        </w:rPr>
      </w:pPr>
      <w:r>
        <w:rPr>
          <w:lang w:val="en-CA"/>
        </w:rPr>
      </w:r>
      <w:r>
        <w:rPr>
          <w:lang w:val="en-CA"/>
        </w:rPr>
      </w:r>
    </w:p>
    <w:p>
      <w:pPr>
        <w:pBdr/>
        <w:spacing/>
        <w:ind/>
        <w:rPr>
          <w:lang w:val="en-CA"/>
        </w:rPr>
      </w:pPr>
      <w:r>
        <w:rPr>
          <w:lang w:val="en-CA"/>
        </w:rPr>
      </w:r>
      <w:r>
        <w:rPr>
          <w:lang w:val="en-CA"/>
        </w:rPr>
      </w:r>
    </w:p>
    <w:p>
      <w:pPr>
        <w:pStyle w:val="850"/>
        <w:widowControl w:val="false"/>
        <w:numPr>
          <w:ilvl w:val="0"/>
          <w:numId w:val="28"/>
        </w:numPr>
        <w:pBdr/>
        <w:tabs>
          <w:tab w:val="left" w:leader="none" w:pos="461"/>
        </w:tabs>
        <w:spacing w:before="59"/>
        <w:ind/>
        <w:rPr>
          <w:lang w:val="en-CA"/>
        </w:rPr>
      </w:pPr>
      <w:r>
        <w:rPr>
          <w:lang w:val="en-CA"/>
        </w:rPr>
        <w:t xml:space="preserve">Why is it relevant to ask the patient if they have had an injection of contrast before and whether they had a reaction?</w:t>
      </w:r>
      <w:r>
        <w:rPr>
          <w:lang w:val="en-CA"/>
        </w:rPr>
      </w:r>
    </w:p>
    <w:p>
      <w:pPr>
        <w:pBdr/>
        <w:spacing/>
        <w:ind/>
        <w:rPr>
          <w:lang w:val="en-CA"/>
        </w:rPr>
      </w:pPr>
      <w:r>
        <w:rPr>
          <w:lang w:val="en-CA"/>
        </w:rPr>
      </w:r>
      <w:r>
        <w:rPr>
          <w:lang w:val="en-CA"/>
        </w:rPr>
      </w:r>
    </w:p>
    <w:p>
      <w:pPr>
        <w:pBdr/>
        <w:spacing/>
        <w:ind/>
        <w:rPr>
          <w:lang w:val="en-CA"/>
        </w:rPr>
      </w:pPr>
      <w:r>
        <w:rPr>
          <w:color w:val="7030a0"/>
          <w:lang w:val="en-CA"/>
        </w:rPr>
        <w:t xml:space="preserve">ANS- Often patient’s will experience side effects or expected sensati</w:t>
      </w:r>
      <w:r>
        <w:rPr>
          <w:color w:val="7030a0"/>
          <w:lang w:val="en-CA"/>
        </w:rPr>
        <w:t xml:space="preserve">ons such as tingling feeling, nausea, warm flush etc. These are sign and symptoms are not to be confused with an allergic reactions or adverse/unwanted effects. It’s important to clarify what the patient experienced to determine if they had a true reaction</w:t>
      </w:r>
      <w:r>
        <w:rPr>
          <w:lang w:val="en-CA"/>
        </w:rPr>
        <w:t xml:space="preserve">.</w:t>
      </w:r>
      <w:r>
        <w:rPr>
          <w:lang w:val="en-CA"/>
        </w:rPr>
      </w:r>
    </w:p>
    <w:p>
      <w:pPr>
        <w:pBdr/>
        <w:spacing/>
        <w:ind/>
        <w:rPr>
          <w:lang w:val="en-CA"/>
        </w:rPr>
      </w:pPr>
      <w:r>
        <w:rPr>
          <w:lang w:val="en-CA"/>
        </w:rPr>
      </w:r>
      <w:r>
        <w:rPr>
          <w:lang w:val="en-CA"/>
        </w:rPr>
      </w:r>
    </w:p>
    <w:p>
      <w:pPr>
        <w:pBdr/>
        <w:spacing/>
        <w:ind/>
        <w:rPr>
          <w:lang w:val="en-CA"/>
        </w:rPr>
      </w:pPr>
      <w:r>
        <w:rPr>
          <w:lang w:val="en-CA"/>
        </w:rPr>
      </w:r>
      <w:r>
        <w:rPr>
          <w:lang w:val="en-CA"/>
        </w:rPr>
      </w:r>
    </w:p>
    <w:p>
      <w:pPr>
        <w:pStyle w:val="850"/>
        <w:widowControl w:val="false"/>
        <w:numPr>
          <w:ilvl w:val="0"/>
          <w:numId w:val="28"/>
        </w:numPr>
        <w:pBdr/>
        <w:tabs>
          <w:tab w:val="left" w:leader="none" w:pos="461"/>
        </w:tabs>
        <w:spacing w:before="59"/>
        <w:ind/>
        <w:rPr>
          <w:lang w:val="en-CA"/>
        </w:rPr>
      </w:pPr>
      <w:r/>
      <w:bookmarkStart w:id="0" w:name="_Hlk44265940"/>
      <w:r>
        <w:rPr>
          <w:lang w:val="en-CA"/>
        </w:rPr>
        <w:t xml:space="preserve">It is important to know of other illnesses or medical problems a patient might have</w:t>
      </w:r>
      <w:r>
        <w:rPr>
          <w:lang w:val="en-CA"/>
        </w:rPr>
        <w:t xml:space="preserve"> prior to giving an injection of contrast media. </w:t>
      </w:r>
      <w:r>
        <w:rPr>
          <w:lang w:val="en-CA"/>
        </w:rPr>
        <w:t xml:space="preserve">Provide an example of a</w:t>
      </w:r>
      <w:r>
        <w:rPr>
          <w:lang w:val="en-CA"/>
        </w:rPr>
        <w:t xml:space="preserve"> </w:t>
      </w:r>
      <w:r>
        <w:rPr>
          <w:lang w:val="en-CA"/>
        </w:rPr>
        <w:t xml:space="preserve">medical problem</w:t>
      </w:r>
      <w:r>
        <w:rPr>
          <w:lang w:val="en-CA"/>
        </w:rPr>
        <w:t xml:space="preserve"> that is influenced by the injection of a contrast media</w:t>
      </w:r>
      <w:r>
        <w:rPr>
          <w:lang w:val="en-CA"/>
        </w:rPr>
        <w:t xml:space="preserve"> and </w:t>
      </w:r>
      <w:r>
        <w:rPr>
          <w:lang w:val="en-CA"/>
        </w:rPr>
        <w:t xml:space="preserve">why it is important to relay this pertinent information on to the R</w:t>
      </w:r>
      <w:r>
        <w:rPr>
          <w:lang w:val="en-CA"/>
        </w:rPr>
        <w:t xml:space="preserve">adiologist</w:t>
      </w:r>
      <w:r>
        <w:rPr>
          <w:lang w:val="en-CA"/>
        </w:rPr>
        <w:t xml:space="preserve">.</w:t>
      </w:r>
      <w:bookmarkEnd w:id="0"/>
      <w:r>
        <w:rPr>
          <w:lang w:val="en-CA"/>
        </w:rPr>
      </w:r>
    </w:p>
    <w:p>
      <w:pPr>
        <w:pStyle w:val="850"/>
        <w:widowControl w:val="false"/>
        <w:pBdr/>
        <w:tabs>
          <w:tab w:val="left" w:leader="none" w:pos="461"/>
        </w:tabs>
        <w:spacing w:before="59"/>
        <w:ind/>
        <w:rPr>
          <w:lang w:val="en-CA"/>
        </w:rPr>
      </w:pPr>
      <w:r>
        <w:rPr>
          <w:lang w:val="en-CA"/>
        </w:rPr>
      </w:r>
      <w:r>
        <w:rPr>
          <w:lang w:val="en-CA"/>
        </w:rPr>
      </w:r>
    </w:p>
    <w:p>
      <w:pPr>
        <w:pStyle w:val="850"/>
        <w:widowControl w:val="false"/>
        <w:pBdr/>
        <w:tabs>
          <w:tab w:val="left" w:leader="none" w:pos="461"/>
        </w:tabs>
        <w:spacing w:before="59"/>
        <w:ind/>
        <w:rPr>
          <w:lang w:val="en-CA"/>
        </w:rPr>
      </w:pPr>
      <w:r>
        <w:rPr>
          <w:color w:val="7030a0"/>
          <w:lang w:val="en-CA"/>
        </w:rPr>
        <w:t xml:space="preserve">ANS- It is important so if an adverse reaction occurs, it can </w:t>
      </w:r>
      <w:r>
        <w:rPr>
          <w:color w:val="7030a0"/>
          <w:lang w:val="en-CA"/>
        </w:rPr>
        <w:t xml:space="preserve">managed</w:t>
      </w:r>
      <w:r>
        <w:rPr>
          <w:color w:val="7030a0"/>
          <w:lang w:val="en-CA"/>
        </w:rPr>
        <w:t xml:space="preserve"> accordingly. </w:t>
      </w:r>
      <w:r>
        <w:rPr>
          <w:color w:val="7030a0"/>
          <w:lang w:val="en-CA"/>
        </w:rPr>
        <w:t xml:space="preserve">In addition, </w:t>
      </w:r>
      <w:r>
        <w:rPr>
          <w:color w:val="7030a0"/>
          <w:lang w:val="en-CA"/>
        </w:rPr>
        <w:t xml:space="preserve">some history supports an increase in the likelihood of a reaction such as asthma</w:t>
      </w:r>
      <w:r>
        <w:rPr>
          <w:color w:val="7030a0"/>
          <w:lang w:val="en-CA"/>
        </w:rPr>
        <w:t xml:space="preserve">. Knowing this</w:t>
      </w:r>
      <w:r>
        <w:rPr>
          <w:color w:val="7030a0"/>
          <w:lang w:val="en-CA"/>
        </w:rPr>
        <w:t xml:space="preserve"> </w:t>
      </w:r>
      <w:r>
        <w:rPr>
          <w:color w:val="7030a0"/>
          <w:lang w:val="en-CA"/>
        </w:rPr>
        <w:t xml:space="preserve">relevant</w:t>
      </w:r>
      <w:r>
        <w:rPr>
          <w:color w:val="7030a0"/>
          <w:lang w:val="en-CA"/>
        </w:rPr>
        <w:t xml:space="preserve"> medical information </w:t>
      </w:r>
      <w:r>
        <w:rPr>
          <w:color w:val="7030a0"/>
          <w:lang w:val="en-CA"/>
        </w:rPr>
        <w:t xml:space="preserve">allows the Radiologist to determine whether the exam is to be modified and how to best prepare for any adverse/unwanted reactions.</w:t>
      </w:r>
      <w:r>
        <w:rPr>
          <w:lang w:val="en-CA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6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6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3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  <w:p>
    <w:pPr>
      <w:pStyle w:val="846"/>
      <w:pBdr/>
      <w:spacing/>
      <w:ind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color w:val="4f81bd"/>
      </w:rPr>
      <w:t xml:space="preserve">     </w:t>
    </w:r>
    <w:r>
      <w:t xml:space="preserve">|</w:t>
    </w:r>
    <w:r>
      <w:t xml:space="preserve"> </w:t>
    </w:r>
    <w:r>
      <w:t xml:space="preserve">School Name: Course Code/Name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4"/>
      <w:pBdr/>
      <w:spacing/>
      <w:ind/>
      <w:rPr/>
    </w:pPr>
    <w:r>
      <w:t xml:space="preserve">Title of A</w:t>
    </w:r>
    <w:r>
      <w:t xml:space="preserve">ssignment</w:t>
    </w:r>
    <w:r/>
  </w:p>
  <w:p>
    <w:pPr>
      <w:pStyle w:val="834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firstLine="0" w:left="72"/>
      </w:pPr>
      <w:rPr>
        <w:rFonts w:hint="default" w:ascii="Symbol" w:hAnsi="Symbol"/>
      </w:rPr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72" w:left="144"/>
      </w:pPr>
      <w:rPr>
        <w:rFonts w:hint="default" w:ascii="Symbol" w:hAnsi="Symbol"/>
      </w:rPr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648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72" w:left="144"/>
      </w:pPr>
      <w:rPr>
        <w:rFonts w:hint="default" w:ascii="Symbol" w:hAnsi="Symbol"/>
      </w:rPr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72" w:left="144"/>
      </w:pPr>
      <w:rPr>
        <w:rFonts w:hint="default" w:ascii="Symbol" w:hAnsi="Symbol"/>
      </w:rPr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spacing/>
        <w:ind w:hanging="72" w:left="144"/>
      </w:pPr>
      <w:rPr>
        <w:rFonts w:hint="default" w:ascii="Symbol" w:hAnsi="Symbol"/>
      </w:rPr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"/>
      <w:numFmt w:val="bullet"/>
      <w:pPr>
        <w:pBdr/>
        <w:spacing/>
        <w:ind w:firstLine="0" w:left="72"/>
      </w:pPr>
      <w:rPr>
        <w:rFonts w:hint="default" w:ascii="Symbol" w:hAnsi="Symbol"/>
      </w:rPr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firstLine="0" w:left="0"/>
      </w:pPr>
      <w:rPr>
        <w:rFonts w:hint="default" w:ascii="Symbol" w:hAnsi="Symbol"/>
      </w:rPr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368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088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08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28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248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968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688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08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firstLine="0" w:left="72"/>
      </w:pPr>
      <w:rPr>
        <w:rFonts w:hint="default" w:ascii="Symbol" w:hAnsi="Symbol"/>
      </w:rPr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"/>
      <w:numFmt w:val="bullet"/>
      <w:pPr>
        <w:pBdr/>
        <w:spacing/>
        <w:ind w:firstLine="0" w:left="72"/>
      </w:pPr>
      <w:rPr>
        <w:rFonts w:hint="default" w:ascii="Symbol" w:hAnsi="Symbol"/>
      </w:rPr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1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72" w:left="144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360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32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0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7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48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20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9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64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360"/>
      </w:pPr>
      <w:rPr/>
      <w:start w:val="1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7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28">
    <w:lvl w:ilvl="0">
      <w:isLgl w:val="false"/>
      <w:lvlJc w:val="left"/>
      <w:lvlText w:val=""/>
      <w:numFmt w:val="bullet"/>
      <w:pPr>
        <w:pBdr/>
        <w:spacing/>
        <w:ind w:hanging="72" w:left="144"/>
      </w:pPr>
      <w:rPr>
        <w:rFonts w:hint="default" w:ascii="Symbol" w:hAnsi="Symbol"/>
      </w:rPr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7"/>
  </w:num>
  <w:num w:numId="2">
    <w:abstractNumId w:val="27"/>
  </w:num>
  <w:num w:numId="3">
    <w:abstractNumId w:val="14"/>
  </w:num>
  <w:num w:numId="4">
    <w:abstractNumId w:val="10"/>
  </w:num>
  <w:num w:numId="5">
    <w:abstractNumId w:val="6"/>
  </w:num>
  <w:num w:numId="6">
    <w:abstractNumId w:val="1"/>
  </w:num>
  <w:num w:numId="7">
    <w:abstractNumId w:val="5"/>
  </w:num>
  <w:num w:numId="8">
    <w:abstractNumId w:val="8"/>
  </w:num>
  <w:num w:numId="9">
    <w:abstractNumId w:val="25"/>
  </w:num>
  <w:num w:numId="10">
    <w:abstractNumId w:val="24"/>
  </w:num>
  <w:num w:numId="11">
    <w:abstractNumId w:val="19"/>
  </w:num>
  <w:num w:numId="12">
    <w:abstractNumId w:val="21"/>
  </w:num>
  <w:num w:numId="13">
    <w:abstractNumId w:val="26"/>
  </w:num>
  <w:num w:numId="14">
    <w:abstractNumId w:val="15"/>
  </w:num>
  <w:num w:numId="15">
    <w:abstractNumId w:val="3"/>
  </w:num>
  <w:num w:numId="16">
    <w:abstractNumId w:val="9"/>
  </w:num>
  <w:num w:numId="17">
    <w:abstractNumId w:val="22"/>
  </w:num>
  <w:num w:numId="18">
    <w:abstractNumId w:val="16"/>
  </w:num>
  <w:num w:numId="19">
    <w:abstractNumId w:val="28"/>
  </w:num>
  <w:num w:numId="20">
    <w:abstractNumId w:val="17"/>
  </w:num>
  <w:num w:numId="21">
    <w:abstractNumId w:val="0"/>
  </w:num>
  <w:num w:numId="22">
    <w:abstractNumId w:val="20"/>
  </w:num>
  <w:num w:numId="23">
    <w:abstractNumId w:val="18"/>
  </w:num>
  <w:num w:numId="24">
    <w:abstractNumId w:val="11"/>
  </w:num>
  <w:num w:numId="25">
    <w:abstractNumId w:val="12"/>
  </w:num>
  <w:num w:numId="26">
    <w:abstractNumId w:val="4"/>
  </w:num>
  <w:num w:numId="27">
    <w:abstractNumId w:val="13"/>
  </w:num>
  <w:num w:numId="28">
    <w:abstractNumId w:val="23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Calibri" w:cs="Times New Roman"/>
        <w:lang w:val="en-US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33"/>
    <w:next w:val="8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33"/>
    <w:next w:val="8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33"/>
    <w:next w:val="8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33"/>
    <w:next w:val="8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character" w:styleId="152">
    <w:name w:val="Heading 4 Char"/>
    <w:basedOn w:val="83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39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3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3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paragraph" w:styleId="160">
    <w:name w:val="Subtitle"/>
    <w:basedOn w:val="833"/>
    <w:next w:val="8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3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33"/>
    <w:next w:val="8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3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3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33"/>
    <w:next w:val="8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3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3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39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8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3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33"/>
    <w:next w:val="8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3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3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3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3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3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33"/>
    <w:next w:val="833"/>
    <w:uiPriority w:val="39"/>
    <w:unhideWhenUsed/>
    <w:pPr>
      <w:pBdr/>
      <w:spacing w:after="100"/>
      <w:ind/>
    </w:pPr>
  </w:style>
  <w:style w:type="paragraph" w:styleId="189">
    <w:name w:val="toc 2"/>
    <w:basedOn w:val="833"/>
    <w:next w:val="833"/>
    <w:uiPriority w:val="39"/>
    <w:unhideWhenUsed/>
    <w:pPr>
      <w:pBdr/>
      <w:spacing w:after="100"/>
      <w:ind w:left="220"/>
    </w:pPr>
  </w:style>
  <w:style w:type="paragraph" w:styleId="190">
    <w:name w:val="toc 3"/>
    <w:basedOn w:val="833"/>
    <w:next w:val="833"/>
    <w:uiPriority w:val="39"/>
    <w:unhideWhenUsed/>
    <w:pPr>
      <w:pBdr/>
      <w:spacing w:after="100"/>
      <w:ind w:left="440"/>
    </w:pPr>
  </w:style>
  <w:style w:type="paragraph" w:styleId="191">
    <w:name w:val="toc 4"/>
    <w:basedOn w:val="833"/>
    <w:next w:val="833"/>
    <w:uiPriority w:val="39"/>
    <w:unhideWhenUsed/>
    <w:pPr>
      <w:pBdr/>
      <w:spacing w:after="100"/>
      <w:ind w:left="660"/>
    </w:pPr>
  </w:style>
  <w:style w:type="paragraph" w:styleId="192">
    <w:name w:val="toc 5"/>
    <w:basedOn w:val="833"/>
    <w:next w:val="833"/>
    <w:uiPriority w:val="39"/>
    <w:unhideWhenUsed/>
    <w:pPr>
      <w:pBdr/>
      <w:spacing w:after="100"/>
      <w:ind w:left="880"/>
    </w:pPr>
  </w:style>
  <w:style w:type="paragraph" w:styleId="193">
    <w:name w:val="toc 6"/>
    <w:basedOn w:val="833"/>
    <w:next w:val="833"/>
    <w:uiPriority w:val="39"/>
    <w:unhideWhenUsed/>
    <w:pPr>
      <w:pBdr/>
      <w:spacing w:after="100"/>
      <w:ind w:left="1100"/>
    </w:pPr>
  </w:style>
  <w:style w:type="paragraph" w:styleId="194">
    <w:name w:val="toc 7"/>
    <w:basedOn w:val="833"/>
    <w:next w:val="833"/>
    <w:uiPriority w:val="39"/>
    <w:unhideWhenUsed/>
    <w:pPr>
      <w:pBdr/>
      <w:spacing w:after="100"/>
      <w:ind w:left="1320"/>
    </w:pPr>
  </w:style>
  <w:style w:type="paragraph" w:styleId="195">
    <w:name w:val="toc 8"/>
    <w:basedOn w:val="833"/>
    <w:next w:val="833"/>
    <w:uiPriority w:val="39"/>
    <w:unhideWhenUsed/>
    <w:pPr>
      <w:pBdr/>
      <w:spacing w:after="100"/>
      <w:ind w:left="1540"/>
    </w:pPr>
  </w:style>
  <w:style w:type="paragraph" w:styleId="196">
    <w:name w:val="toc 9"/>
    <w:basedOn w:val="833"/>
    <w:next w:val="8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33"/>
    <w:next w:val="833"/>
    <w:uiPriority w:val="99"/>
    <w:unhideWhenUsed/>
    <w:pPr>
      <w:pBdr/>
      <w:spacing w:after="0" w:afterAutospacing="0"/>
      <w:ind/>
    </w:pPr>
  </w:style>
  <w:style w:type="paragraph" w:styleId="833" w:default="1">
    <w:name w:val="Normal"/>
    <w:qFormat/>
    <w:pPr>
      <w:pBdr/>
      <w:spacing w:line="276" w:lineRule="auto"/>
      <w:ind/>
    </w:pPr>
    <w:rPr>
      <w:rFonts w:eastAsia="Times New Roman" w:cs="Arial"/>
      <w:sz w:val="22"/>
      <w:szCs w:val="22"/>
    </w:rPr>
  </w:style>
  <w:style w:type="paragraph" w:styleId="834">
    <w:name w:val="Heading 1"/>
    <w:basedOn w:val="833"/>
    <w:next w:val="835"/>
    <w:link w:val="842"/>
    <w:uiPriority w:val="9"/>
    <w:qFormat/>
    <w:pPr>
      <w:keepNext w:val="true"/>
      <w:keepLines w:val="true"/>
      <w:pBdr/>
      <w:spacing w:after="120" w:before="360"/>
      <w:ind/>
      <w:outlineLvl w:val="0"/>
    </w:pPr>
    <w:rPr>
      <w:b/>
      <w:bCs/>
      <w:sz w:val="32"/>
    </w:rPr>
  </w:style>
  <w:style w:type="paragraph" w:styleId="835">
    <w:name w:val="Heading 2"/>
    <w:basedOn w:val="833"/>
    <w:next w:val="833"/>
    <w:link w:val="843"/>
    <w:uiPriority w:val="9"/>
    <w:unhideWhenUsed/>
    <w:qFormat/>
    <w:pPr>
      <w:keepNext w:val="true"/>
      <w:keepLines w:val="true"/>
      <w:pBdr/>
      <w:spacing w:after="60" w:before="240"/>
      <w:ind/>
      <w:outlineLvl w:val="1"/>
    </w:pPr>
    <w:rPr>
      <w:b/>
      <w:bCs/>
      <w:sz w:val="28"/>
      <w:szCs w:val="28"/>
    </w:rPr>
  </w:style>
  <w:style w:type="paragraph" w:styleId="836">
    <w:name w:val="Heading 3"/>
    <w:basedOn w:val="833"/>
    <w:next w:val="833"/>
    <w:link w:val="853"/>
    <w:uiPriority w:val="9"/>
    <w:unhideWhenUsed/>
    <w:qFormat/>
    <w:pPr>
      <w:keepNext w:val="true"/>
      <w:keepLines w:val="true"/>
      <w:pBdr/>
      <w:spacing w:after="60" w:before="240"/>
      <w:ind/>
      <w:outlineLvl w:val="2"/>
    </w:pPr>
    <w:rPr>
      <w:b/>
      <w:bCs/>
      <w:sz w:val="26"/>
    </w:rPr>
  </w:style>
  <w:style w:type="paragraph" w:styleId="837">
    <w:name w:val="Heading 8"/>
    <w:basedOn w:val="833"/>
    <w:next w:val="833"/>
    <w:link w:val="852"/>
    <w:pPr>
      <w:pBdr/>
      <w:spacing w:after="60" w:before="240" w:line="240" w:lineRule="auto"/>
      <w:ind/>
      <w:outlineLvl w:val="7"/>
    </w:pPr>
    <w:rPr>
      <w:i/>
      <w:iCs/>
      <w:szCs w:val="24"/>
      <w:lang w:val="en-CA"/>
    </w:rPr>
  </w:style>
  <w:style w:type="paragraph" w:styleId="838">
    <w:name w:val="Heading 9"/>
    <w:basedOn w:val="833"/>
    <w:next w:val="833"/>
    <w:link w:val="854"/>
    <w:uiPriority w:val="9"/>
    <w:unhideWhenUsed/>
    <w:pPr>
      <w:keepNext w:val="true"/>
      <w:keepLines w:val="true"/>
      <w:pBdr/>
      <w:spacing w:before="40"/>
      <w:ind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839" w:default="1">
    <w:name w:val="Default Paragraph Font"/>
    <w:uiPriority w:val="1"/>
    <w:semiHidden/>
    <w:unhideWhenUsed/>
    <w:pPr>
      <w:pBdr/>
      <w:spacing/>
      <w:ind/>
    </w:pPr>
  </w:style>
  <w:style w:type="table" w:styleId="84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1" w:default="1">
    <w:name w:val="No List"/>
    <w:uiPriority w:val="99"/>
    <w:semiHidden/>
    <w:unhideWhenUsed/>
    <w:pPr>
      <w:pBdr/>
      <w:spacing/>
      <w:ind/>
    </w:pPr>
  </w:style>
  <w:style w:type="character" w:styleId="842" w:customStyle="1">
    <w:name w:val="Heading 1 Char"/>
    <w:basedOn w:val="839"/>
    <w:link w:val="834"/>
    <w:uiPriority w:val="9"/>
    <w:pPr>
      <w:pBdr/>
      <w:spacing/>
      <w:ind/>
    </w:pPr>
    <w:rPr>
      <w:rFonts w:eastAsia="Times New Roman" w:cs="Arial"/>
      <w:b/>
      <w:bCs/>
      <w:sz w:val="32"/>
      <w:szCs w:val="22"/>
    </w:rPr>
  </w:style>
  <w:style w:type="character" w:styleId="843" w:customStyle="1">
    <w:name w:val="Heading 2 Char"/>
    <w:basedOn w:val="839"/>
    <w:link w:val="835"/>
    <w:uiPriority w:val="9"/>
    <w:pPr>
      <w:pBdr/>
      <w:spacing/>
      <w:ind/>
    </w:pPr>
    <w:rPr>
      <w:rFonts w:eastAsia="Times New Roman" w:cs="Arial"/>
      <w:b/>
      <w:bCs/>
      <w:sz w:val="28"/>
      <w:szCs w:val="28"/>
    </w:rPr>
  </w:style>
  <w:style w:type="paragraph" w:styleId="844">
    <w:name w:val="Header"/>
    <w:basedOn w:val="833"/>
    <w:link w:val="845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845" w:customStyle="1">
    <w:name w:val="Header Char"/>
    <w:basedOn w:val="839"/>
    <w:link w:val="844"/>
    <w:uiPriority w:val="99"/>
    <w:pPr>
      <w:pBdr/>
      <w:spacing/>
      <w:ind/>
    </w:pPr>
    <w:rPr>
      <w:rFonts w:ascii="Calibri" w:hAnsi="Calibri"/>
      <w:b w:val="0"/>
      <w:sz w:val="24"/>
    </w:rPr>
  </w:style>
  <w:style w:type="paragraph" w:styleId="846">
    <w:name w:val="Footer"/>
    <w:basedOn w:val="833"/>
    <w:link w:val="847"/>
    <w:uiPriority w:val="99"/>
    <w:unhideWhenUsed/>
    <w:pPr>
      <w:pBdr/>
      <w:tabs>
        <w:tab w:val="center" w:leader="none" w:pos="4680"/>
        <w:tab w:val="right" w:leader="none" w:pos="9360"/>
      </w:tabs>
      <w:spacing w:before="60" w:line="240" w:lineRule="auto"/>
      <w:ind/>
    </w:pPr>
    <w:rPr>
      <w:b/>
      <w:sz w:val="20"/>
      <w:szCs w:val="20"/>
    </w:rPr>
  </w:style>
  <w:style w:type="character" w:styleId="847" w:customStyle="1">
    <w:name w:val="Footer Char"/>
    <w:basedOn w:val="839"/>
    <w:link w:val="846"/>
    <w:uiPriority w:val="99"/>
    <w:pPr>
      <w:pBdr/>
      <w:spacing/>
      <w:ind/>
    </w:pPr>
    <w:rPr>
      <w:rFonts w:eastAsia="Times New Roman" w:cs="Arial"/>
      <w:b/>
    </w:rPr>
  </w:style>
  <w:style w:type="paragraph" w:styleId="848">
    <w:name w:val="Balloon Text"/>
    <w:basedOn w:val="833"/>
    <w:link w:val="849"/>
    <w:uiPriority w:val="99"/>
    <w:semiHidden/>
    <w:unhideWhenUsed/>
    <w:pPr>
      <w:pBdr/>
      <w:spacing w:line="240" w:lineRule="auto"/>
      <w:ind/>
    </w:pPr>
    <w:rPr>
      <w:rFonts w:ascii="Tahoma" w:hAnsi="Tahoma" w:cs="Tahoma"/>
      <w:sz w:val="16"/>
      <w:szCs w:val="16"/>
    </w:rPr>
  </w:style>
  <w:style w:type="character" w:styleId="849" w:customStyle="1">
    <w:name w:val="Balloon Text Char"/>
    <w:basedOn w:val="839"/>
    <w:link w:val="848"/>
    <w:uiPriority w:val="99"/>
    <w:semiHidden/>
    <w:pPr>
      <w:pBdr/>
      <w:spacing/>
      <w:ind/>
    </w:pPr>
    <w:rPr>
      <w:rFonts w:ascii="Tahoma" w:hAnsi="Tahoma" w:cs="Tahoma"/>
      <w:b w:val="0"/>
      <w:sz w:val="16"/>
      <w:szCs w:val="16"/>
    </w:rPr>
  </w:style>
  <w:style w:type="paragraph" w:styleId="850">
    <w:name w:val="List Paragraph"/>
    <w:basedOn w:val="833"/>
    <w:uiPriority w:val="1"/>
    <w:qFormat/>
    <w:pPr>
      <w:pBdr/>
      <w:spacing/>
      <w:ind w:left="720"/>
      <w:contextualSpacing w:val="true"/>
    </w:pPr>
  </w:style>
  <w:style w:type="table" w:styleId="851">
    <w:name w:val="Table Grid"/>
    <w:basedOn w:val="840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2" w:customStyle="1">
    <w:name w:val="Heading 8 Char"/>
    <w:basedOn w:val="839"/>
    <w:link w:val="837"/>
    <w:pPr>
      <w:pBdr/>
      <w:spacing/>
      <w:ind/>
    </w:pPr>
    <w:rPr>
      <w:rFonts w:eastAsia="Times New Roman"/>
      <w:i/>
      <w:iCs/>
      <w:sz w:val="24"/>
      <w:szCs w:val="24"/>
      <w:lang w:val="en-CA"/>
    </w:rPr>
  </w:style>
  <w:style w:type="character" w:styleId="853" w:customStyle="1">
    <w:name w:val="Heading 3 Char"/>
    <w:basedOn w:val="839"/>
    <w:link w:val="836"/>
    <w:uiPriority w:val="9"/>
    <w:pPr>
      <w:pBdr/>
      <w:spacing/>
      <w:ind/>
    </w:pPr>
    <w:rPr>
      <w:rFonts w:eastAsia="Times New Roman" w:cs="Arial"/>
      <w:b/>
      <w:bCs/>
      <w:sz w:val="26"/>
      <w:szCs w:val="22"/>
    </w:rPr>
  </w:style>
  <w:style w:type="character" w:styleId="854" w:customStyle="1">
    <w:name w:val="Heading 9 Char"/>
    <w:basedOn w:val="839"/>
    <w:link w:val="838"/>
    <w:uiPriority w:val="9"/>
    <w:pPr>
      <w:pBdr/>
      <w:spacing/>
      <w:ind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855" w:customStyle="1">
    <w:name w:val="Source"/>
    <w:basedOn w:val="833"/>
    <w:qFormat/>
    <w:pPr>
      <w:pBdr/>
      <w:spacing/>
      <w:ind w:right="1440"/>
      <w:jc w:val="right"/>
    </w:pPr>
    <w:rPr>
      <w:sz w:val="20"/>
      <w:szCs w:val="24"/>
    </w:rPr>
  </w:style>
  <w:style w:type="paragraph" w:styleId="856">
    <w:name w:val="Title"/>
    <w:basedOn w:val="833"/>
    <w:next w:val="833"/>
    <w:link w:val="857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857" w:customStyle="1">
    <w:name w:val="Title Char"/>
    <w:basedOn w:val="839"/>
    <w:link w:val="856"/>
    <w:uiPriority w:val="10"/>
    <w:pPr>
      <w:pBdr/>
      <w:spacing/>
      <w:ind/>
    </w:pPr>
    <w:rPr>
      <w:b/>
      <w:smallCaps/>
      <w:color w:val="000000"/>
      <w:sz w:val="32"/>
      <w:szCs w:val="32"/>
    </w:rPr>
  </w:style>
  <w:style w:type="paragraph" w:styleId="858" w:customStyle="1">
    <w:name w:val="table text"/>
    <w:basedOn w:val="833"/>
    <w:qFormat/>
    <w:pPr>
      <w:pBdr/>
      <w:spacing w:before="120"/>
      <w:ind/>
    </w:pPr>
  </w:style>
  <w:style w:type="character" w:styleId="859">
    <w:name w:val="annotation reference"/>
    <w:basedOn w:val="839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860">
    <w:name w:val="annotation text"/>
    <w:basedOn w:val="833"/>
    <w:link w:val="861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861" w:customStyle="1">
    <w:name w:val="Comment Text Char"/>
    <w:basedOn w:val="839"/>
    <w:link w:val="860"/>
    <w:uiPriority w:val="99"/>
    <w:semiHidden/>
    <w:pPr>
      <w:pBdr/>
      <w:spacing/>
      <w:ind/>
    </w:pPr>
    <w:rPr>
      <w:color w:val="000000"/>
    </w:rPr>
  </w:style>
  <w:style w:type="paragraph" w:styleId="862">
    <w:name w:val="annotation subject"/>
    <w:basedOn w:val="860"/>
    <w:next w:val="860"/>
    <w:link w:val="863"/>
    <w:uiPriority w:val="99"/>
    <w:semiHidden/>
    <w:unhideWhenUsed/>
    <w:pPr>
      <w:pBdr/>
      <w:spacing/>
      <w:ind/>
    </w:pPr>
    <w:rPr>
      <w:b/>
      <w:bCs/>
    </w:rPr>
  </w:style>
  <w:style w:type="character" w:styleId="863" w:customStyle="1">
    <w:name w:val="Comment Subject Char"/>
    <w:basedOn w:val="861"/>
    <w:link w:val="862"/>
    <w:uiPriority w:val="99"/>
    <w:semiHidden/>
    <w:pPr>
      <w:pBdr/>
      <w:spacing/>
      <w:ind/>
    </w:pPr>
    <w:rPr>
      <w:b/>
      <w:bCs/>
      <w:color w:val="000000"/>
    </w:rPr>
  </w:style>
  <w:style w:type="paragraph" w:styleId="864">
    <w:name w:val="Revision"/>
    <w:hidden/>
    <w:uiPriority w:val="99"/>
    <w:semiHidden/>
    <w:pPr>
      <w:pBdr/>
      <w:spacing/>
      <w:ind/>
    </w:pPr>
    <w:rPr>
      <w:color w:val="000000"/>
      <w:sz w:val="22"/>
      <w:szCs w:val="32"/>
    </w:rPr>
  </w:style>
  <w:style w:type="character" w:styleId="865">
    <w:name w:val="Strong"/>
    <w:basedOn w:val="839"/>
    <w:uiPriority w:val="22"/>
    <w:qFormat/>
    <w:pPr>
      <w:pBdr/>
      <w:spacing/>
      <w:ind/>
    </w:pPr>
    <w:rPr>
      <w:b/>
      <w:bCs/>
    </w:rPr>
  </w:style>
  <w:style w:type="table" w:styleId="866" w:customStyle="1">
    <w:name w:val="Table Grid1"/>
    <w:basedOn w:val="840"/>
    <w:next w:val="851"/>
    <w:uiPriority w:val="59"/>
    <w:pPr>
      <w:pBdr/>
      <w:spacing/>
      <w:ind/>
    </w:pPr>
    <w:rPr>
      <w:rFonts w:ascii="Calibri" w:hAnsi="Calibri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7" w:customStyle="1">
    <w:name w:val="SAIT Caption"/>
    <w:basedOn w:val="833"/>
    <w:qFormat/>
    <w:pPr>
      <w:pBdr/>
      <w:spacing w:after="120" w:before="120"/>
      <w:ind/>
      <w:jc w:val="center"/>
    </w:pPr>
    <w:rPr>
      <w:b/>
    </w:rPr>
  </w:style>
  <w:style w:type="paragraph" w:styleId="868" w:customStyle="1">
    <w:name w:val="SAIT Copyright"/>
    <w:basedOn w:val="846"/>
    <w:qFormat/>
    <w:pPr>
      <w:pBdr/>
      <w:spacing/>
      <w:ind/>
    </w:pPr>
    <w:rPr>
      <w:b w:val="0"/>
    </w:rPr>
  </w:style>
  <w:style w:type="paragraph" w:styleId="869" w:customStyle="1">
    <w:name w:val="Page No."/>
    <w:basedOn w:val="846"/>
    <w:qFormat/>
    <w:pPr>
      <w:pBdr/>
      <w:spacing/>
      <w:ind/>
      <w:jc w:val="right"/>
    </w:pPr>
  </w:style>
  <w:style w:type="paragraph" w:styleId="870" w:customStyle="1">
    <w:name w:val="Table Heading"/>
    <w:basedOn w:val="833"/>
    <w:qFormat/>
    <w:pPr>
      <w:pBdr/>
      <w:spacing w:after="60" w:before="60"/>
      <w:ind/>
      <w:jc w:val="center"/>
    </w:pPr>
    <w:rPr>
      <w:b/>
    </w:rPr>
  </w:style>
  <w:style w:type="paragraph" w:styleId="871" w:customStyle="1">
    <w:name w:val="Table Text"/>
    <w:basedOn w:val="833"/>
    <w:qFormat/>
    <w:pPr>
      <w:pBdr/>
      <w:spacing w:after="60" w:before="60"/>
      <w:ind/>
    </w:pPr>
  </w:style>
  <w:style w:type="paragraph" w:styleId="872" w:customStyle="1">
    <w:name w:val="Column Heading"/>
    <w:basedOn w:val="833"/>
    <w:qFormat/>
    <w:pPr>
      <w:pBdr/>
      <w:spacing w:after="60" w:before="60"/>
      <w:ind/>
      <w:jc w:val="center"/>
    </w:pPr>
    <w:rPr>
      <w:b/>
    </w:rPr>
  </w:style>
  <w:style w:type="paragraph" w:styleId="873" w:customStyle="1">
    <w:name w:val="Footer Copyright"/>
    <w:basedOn w:val="868"/>
    <w:qFormat/>
    <w:pPr>
      <w:pBdr/>
      <w:spacing/>
      <w:ind/>
    </w:pPr>
  </w:style>
  <w:style w:type="paragraph" w:styleId="874" w:customStyle="1">
    <w:name w:val="Copyright Footer"/>
    <w:basedOn w:val="833"/>
    <w:qFormat/>
    <w:pPr>
      <w:pBdr/>
      <w:spacing/>
      <w:ind/>
    </w:pPr>
    <w:rPr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Relationship Id="rId16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C6AECC-5946-46B6-9F79-8FD027D956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423F220-30E4-425B-898D-CF66408AAE8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74F7E468-276B-4080-B12E-F6FBE6C0AB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93DEB3-E52E-47E0-B0E4-B9C7628C13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>SAIT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Qaiser Rehman</cp:lastModifiedBy>
  <cp:revision>4</cp:revision>
  <dcterms:created xsi:type="dcterms:W3CDTF">2024-04-10T17:54:00Z</dcterms:created>
  <dcterms:modified xsi:type="dcterms:W3CDTF">2025-06-30T18:47:02Z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