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946"/>
        <w:pBdr/>
        <w:spacing/>
        <w:ind/>
        <w:rPr/>
      </w:pPr>
      <w:r/>
      <w:bookmarkStart w:id="0" w:name="_Toc428882558"/>
      <w:r>
        <w:t xml:space="preserve">Activity: </w:t>
      </w:r>
      <w:bookmarkEnd w:id="0"/>
      <w:r>
        <w:t xml:space="preserve">Biological Aspects of Exposure – ANSWER KEY</w:t>
      </w:r>
      <w:r/>
    </w:p>
    <w:p>
      <w:pPr>
        <w:pStyle w:val="1128"/>
        <w:pBdr/>
        <w:spacing/>
        <w:ind w:left="1440"/>
        <w:rPr/>
      </w:pPr>
      <w:r/>
      <w:r/>
    </w:p>
    <w:p>
      <w:pPr>
        <w:pStyle w:val="1128"/>
        <w:numPr>
          <w:ilvl w:val="0"/>
          <w:numId w:val="14"/>
        </w:numPr>
        <w:pBdr/>
        <w:spacing w:after="200"/>
        <w:ind/>
        <w:rPr/>
      </w:pPr>
      <w:r>
        <w:t xml:space="preserve">Define LET</w:t>
      </w:r>
      <w:r/>
    </w:p>
    <w:p>
      <w:pPr>
        <w:pStyle w:val="1128"/>
        <w:numPr>
          <w:ilvl w:val="0"/>
          <w:numId w:val="15"/>
        </w:numPr>
        <w:pBdr/>
        <w:spacing w:after="200"/>
        <w:ind/>
        <w:rPr/>
      </w:pPr>
      <w:r>
        <w:t xml:space="preserve">Linear energy transfer is a measure of energy deposited along the path (track) of ionizing radiation as it travels through matter.  LET is the average energy deposited per unit length of track.  It is described in units of </w:t>
      </w:r>
      <w:r>
        <w:t xml:space="preserve">kEv</w:t>
      </w:r>
      <w:r>
        <w:t xml:space="preserve">/</w:t>
      </w:r>
      <w:r>
        <w:rPr>
          <w:rFonts w:cstheme="minorHAnsi"/>
        </w:rPr>
        <w:t xml:space="preserve">µ</w:t>
      </w:r>
      <w:r>
        <w:t xml:space="preserve">m (</w:t>
      </w:r>
      <w:r>
        <w:t xml:space="preserve">kiloelectron</w:t>
      </w:r>
      <w:r>
        <w:t xml:space="preserve"> volts per mi</w:t>
      </w:r>
      <w:r>
        <w:t xml:space="preserve">cron)</w:t>
      </w:r>
      <w:r/>
    </w:p>
    <w:p>
      <w:pPr>
        <w:pStyle w:val="1128"/>
        <w:numPr>
          <w:ilvl w:val="0"/>
          <w:numId w:val="15"/>
        </w:numPr>
        <w:pBdr/>
        <w:spacing w:after="200"/>
        <w:ind/>
        <w:rPr/>
      </w:pPr>
      <w:r>
        <w:t xml:space="preserve">As LET increases, the likelihood of a biologic response increases.  As the probability of biologic response increases, the chance of interaction with DNA also increases.</w:t>
      </w:r>
      <w:r/>
    </w:p>
    <w:p>
      <w:pPr>
        <w:pStyle w:val="1128"/>
        <w:pBdr/>
        <w:spacing/>
        <w:ind w:left="360"/>
        <w:rPr/>
      </w:pPr>
      <w:r/>
      <w:r/>
    </w:p>
    <w:p>
      <w:pPr>
        <w:pStyle w:val="1128"/>
        <w:numPr>
          <w:ilvl w:val="0"/>
          <w:numId w:val="14"/>
        </w:numPr>
        <w:pBdr/>
        <w:spacing w:after="200"/>
        <w:ind/>
        <w:rPr/>
      </w:pPr>
      <w:r>
        <w:t xml:space="preserve">Explain the significance of Low-LET and High LET</w:t>
      </w:r>
      <w:r/>
    </w:p>
    <w:p>
      <w:pPr>
        <w:pStyle w:val="1128"/>
        <w:pBdr/>
        <w:spacing/>
        <w:ind w:left="360"/>
        <w:rPr/>
      </w:pPr>
      <w:r>
        <w:t xml:space="preserve">Low LET</w:t>
      </w:r>
      <w:r/>
    </w:p>
    <w:p>
      <w:pPr>
        <w:pStyle w:val="1128"/>
        <w:numPr>
          <w:ilvl w:val="0"/>
          <w:numId w:val="16"/>
        </w:numPr>
        <w:pBdr/>
        <w:spacing w:after="200"/>
        <w:ind/>
        <w:rPr/>
      </w:pPr>
      <w:r>
        <w:t xml:space="preserve">X-rays and gamma rays </w:t>
      </w:r>
      <w:r>
        <w:t xml:space="preserve">are both low LET</w:t>
      </w:r>
      <w:r/>
    </w:p>
    <w:p>
      <w:pPr>
        <w:pStyle w:val="1128"/>
        <w:numPr>
          <w:ilvl w:val="0"/>
          <w:numId w:val="16"/>
        </w:numPr>
        <w:pBdr/>
        <w:spacing w:after="200"/>
        <w:ind/>
        <w:rPr/>
      </w:pPr>
      <w:r>
        <w:t xml:space="preserve">Low LET radiation primarily causes damage indirectly by producing free radicals</w:t>
      </w:r>
      <w:r/>
    </w:p>
    <w:p>
      <w:pPr>
        <w:pStyle w:val="1128"/>
        <w:pBdr/>
        <w:spacing/>
        <w:ind w:left="1080"/>
        <w:rPr/>
      </w:pPr>
      <w:r/>
      <w:r/>
    </w:p>
    <w:p>
      <w:pPr>
        <w:pStyle w:val="1128"/>
        <w:pBdr/>
        <w:spacing/>
        <w:ind w:left="360"/>
        <w:rPr/>
      </w:pPr>
      <w:r>
        <w:t xml:space="preserve">High LET</w:t>
      </w:r>
      <w:r/>
    </w:p>
    <w:p>
      <w:pPr>
        <w:pStyle w:val="1128"/>
        <w:numPr>
          <w:ilvl w:val="0"/>
          <w:numId w:val="17"/>
        </w:numPr>
        <w:pBdr/>
        <w:spacing w:after="200"/>
        <w:ind/>
        <w:rPr/>
      </w:pPr>
      <w:r>
        <w:t xml:space="preserve">Alpha particles, ions of heavy nuclei, charged particles released from interactions btw neutrons and atoms</w:t>
      </w:r>
      <w:r/>
    </w:p>
    <w:p>
      <w:pPr>
        <w:pStyle w:val="1128"/>
        <w:numPr>
          <w:ilvl w:val="0"/>
          <w:numId w:val="17"/>
        </w:numPr>
        <w:pBdr/>
        <w:spacing w:after="200"/>
        <w:ind/>
        <w:rPr/>
      </w:pPr>
      <w:r>
        <w:t xml:space="preserve">They exhaust their energy quickly and so a</w:t>
      </w:r>
      <w:r>
        <w:t xml:space="preserve">re not able to travel very far in tissue.</w:t>
      </w:r>
      <w:r/>
    </w:p>
    <w:p>
      <w:pPr>
        <w:pStyle w:val="1128"/>
        <w:numPr>
          <w:ilvl w:val="0"/>
          <w:numId w:val="17"/>
        </w:numPr>
        <w:pBdr/>
        <w:spacing w:after="200"/>
        <w:ind/>
        <w:rPr/>
      </w:pPr>
      <w:r>
        <w:t xml:space="preserve">High LET is more destructive to biological matter than low LET</w:t>
      </w:r>
      <w:r/>
    </w:p>
    <w:p>
      <w:pPr>
        <w:pStyle w:val="1128"/>
        <w:numPr>
          <w:ilvl w:val="0"/>
          <w:numId w:val="17"/>
        </w:numPr>
        <w:pBdr/>
        <w:spacing w:after="200"/>
        <w:ind/>
        <w:rPr/>
      </w:pPr>
      <w:r>
        <w:t xml:space="preserve">Risk of damage to DNA is increased</w:t>
      </w:r>
      <w:r/>
    </w:p>
    <w:p>
      <w:pPr>
        <w:pStyle w:val="1128"/>
        <w:pBdr/>
        <w:spacing/>
        <w:ind w:left="1080"/>
        <w:rPr/>
      </w:pPr>
      <w:r/>
      <w:r/>
    </w:p>
    <w:p>
      <w:pPr>
        <w:pStyle w:val="1128"/>
        <w:pBdr/>
        <w:spacing/>
        <w:ind w:left="1080"/>
        <w:rPr/>
      </w:pPr>
      <w:r/>
      <w:r/>
    </w:p>
    <w:p>
      <w:pPr>
        <w:pStyle w:val="1128"/>
        <w:pBdr/>
        <w:spacing/>
        <w:ind w:left="1080"/>
        <w:rPr/>
      </w:pPr>
      <w:r>
        <w:t xml:space="preserve"> </w:t>
      </w:r>
      <w:r/>
    </w:p>
    <w:p>
      <w:pPr>
        <w:pStyle w:val="1128"/>
        <w:numPr>
          <w:ilvl w:val="0"/>
          <w:numId w:val="14"/>
        </w:numPr>
        <w:pBdr/>
        <w:spacing w:after="200"/>
        <w:ind/>
        <w:rPr/>
      </w:pPr>
      <w:r>
        <w:t xml:space="preserve">Define RBE</w:t>
      </w:r>
      <w:r/>
    </w:p>
    <w:p>
      <w:pPr>
        <w:pStyle w:val="1128"/>
        <w:numPr>
          <w:ilvl w:val="0"/>
          <w:numId w:val="18"/>
        </w:numPr>
        <w:pBdr/>
        <w:spacing w:after="200"/>
        <w:ind/>
        <w:rPr/>
      </w:pPr>
      <w:r>
        <w:t xml:space="preserve">Relative Biologic Effectiveness is the comparison of radiation with differing LET’s abilities to prod</w:t>
      </w:r>
      <w:r>
        <w:t xml:space="preserve">uce the same biologic reaction.</w:t>
      </w:r>
      <w:r/>
    </w:p>
    <w:p>
      <w:pPr>
        <w:pStyle w:val="1128"/>
        <w:numPr>
          <w:ilvl w:val="0"/>
          <w:numId w:val="18"/>
        </w:numPr>
        <w:pBdr/>
        <w:spacing w:after="200"/>
        <w:ind/>
        <w:rPr>
          <w:u w:val="single"/>
        </w:rPr>
      </w:pPr>
      <w:r>
        <w:t xml:space="preserve">RBE = </w:t>
      </w:r>
      <w:r>
        <w:rPr>
          <w:u w:val="single"/>
        </w:rPr>
        <w:t xml:space="preserve">Dose of standard radiation necessary to produce a given effect</w:t>
      </w:r>
      <w:r>
        <w:rPr>
          <w:u w:val="single"/>
        </w:rPr>
      </w:r>
    </w:p>
    <w:p>
      <w:pPr>
        <w:pStyle w:val="1128"/>
        <w:pBdr/>
        <w:spacing/>
        <w:ind w:left="1440"/>
        <w:rPr/>
      </w:pPr>
      <w:r>
        <w:t xml:space="preserve">    Dose of test radiation necessary to produce the same effect</w:t>
      </w:r>
      <w:r/>
    </w:p>
    <w:p>
      <w:pPr>
        <w:pStyle w:val="1128"/>
        <w:pBdr/>
        <w:spacing/>
        <w:ind w:left="1440"/>
        <w:rPr/>
      </w:pPr>
      <w:r/>
      <w:r/>
    </w:p>
    <w:p>
      <w:pPr>
        <w:pStyle w:val="1128"/>
        <w:numPr>
          <w:ilvl w:val="0"/>
          <w:numId w:val="14"/>
        </w:numPr>
        <w:pBdr/>
        <w:spacing w:after="200"/>
        <w:ind/>
        <w:rPr/>
      </w:pPr>
      <w:r>
        <w:t xml:space="preserve">Define OER</w:t>
      </w:r>
      <w:r/>
    </w:p>
    <w:p>
      <w:pPr>
        <w:pStyle w:val="1128"/>
        <w:numPr>
          <w:ilvl w:val="0"/>
          <w:numId w:val="19"/>
        </w:numPr>
        <w:pBdr/>
        <w:spacing w:after="200"/>
        <w:ind/>
        <w:rPr/>
      </w:pPr>
      <w:r>
        <w:t xml:space="preserve">O</w:t>
      </w:r>
      <w:r>
        <w:t xml:space="preserve">xygen Enhancement Ratio is the ratio of radiation dose required to cause a particular biologic response of cells or organisms in an oxygen-deprived environment to the radiation dose required to cause an identical response under normal oxygenated conditions</w:t>
      </w:r>
      <w:r/>
    </w:p>
    <w:p>
      <w:pPr>
        <w:pStyle w:val="1128"/>
        <w:numPr>
          <w:ilvl w:val="0"/>
          <w:numId w:val="19"/>
        </w:numPr>
        <w:pBdr/>
        <w:spacing w:after="200"/>
        <w:ind/>
        <w:rPr/>
      </w:pPr>
      <w:r>
        <w:t xml:space="preserve">OER </w:t>
      </w:r>
      <w:r>
        <w:rPr>
          <w:u w:val="single"/>
        </w:rPr>
        <w:t xml:space="preserve">= Radiation dose required to cause biologic response without O</w:t>
      </w:r>
      <w:r>
        <w:rPr>
          <w:vertAlign w:val="subscript"/>
        </w:rPr>
        <w:t xml:space="preserve">2</w:t>
      </w:r>
      <w:r/>
    </w:p>
    <w:p>
      <w:pPr>
        <w:pStyle w:val="1128"/>
        <w:pBdr/>
        <w:spacing/>
        <w:ind w:left="1440"/>
        <w:rPr/>
      </w:pPr>
      <w:r>
        <w:t xml:space="preserve">       Radiation dose required to cause biologic response with O</w:t>
      </w:r>
      <w:r>
        <w:rPr>
          <w:vertAlign w:val="subscript"/>
        </w:rPr>
        <w:t xml:space="preserve">2</w:t>
      </w:r>
      <w:r>
        <w:t xml:space="preserve"> </w:t>
      </w:r>
      <w:r/>
    </w:p>
    <w:p>
      <w:pPr>
        <w:pStyle w:val="1128"/>
        <w:pBdr/>
        <w:spacing/>
        <w:ind w:left="1440"/>
        <w:rPr/>
      </w:pPr>
      <w:r/>
      <w:r/>
    </w:p>
    <w:p>
      <w:pPr>
        <w:pStyle w:val="1128"/>
        <w:numPr>
          <w:ilvl w:val="0"/>
          <w:numId w:val="14"/>
        </w:numPr>
        <w:pBdr/>
        <w:spacing w:after="200"/>
        <w:ind/>
        <w:rPr/>
      </w:pPr>
      <w:r>
        <w:t xml:space="preserve">Define Protraction and Fractionation</w:t>
      </w:r>
      <w:r/>
    </w:p>
    <w:p>
      <w:pPr>
        <w:pStyle w:val="1128"/>
        <w:numPr>
          <w:ilvl w:val="0"/>
          <w:numId w:val="20"/>
        </w:numPr>
        <w:pBdr/>
        <w:spacing w:after="200"/>
        <w:ind/>
        <w:rPr/>
      </w:pPr>
      <w:r>
        <w:t xml:space="preserve">If the dose is delivered continuously but slowly, it is protracted.</w:t>
      </w:r>
      <w:r/>
    </w:p>
    <w:p>
      <w:pPr>
        <w:pStyle w:val="1128"/>
        <w:numPr>
          <w:ilvl w:val="0"/>
          <w:numId w:val="20"/>
        </w:numPr>
        <w:pBdr/>
        <w:spacing w:after="200"/>
        <w:ind/>
        <w:rPr/>
      </w:pPr>
      <w:r>
        <w:t xml:space="preserve">If the dose is</w:t>
      </w:r>
      <w:r>
        <w:t xml:space="preserve"> delivered at the same dose rate in equal fractions or parts it is fractionated.</w:t>
      </w:r>
      <w:r/>
    </w:p>
    <w:p>
      <w:pPr>
        <w:pStyle w:val="1128"/>
        <w:pBdr/>
        <w:spacing/>
        <w:ind w:left="360"/>
        <w:rPr/>
      </w:pPr>
      <w:r/>
      <w:r/>
    </w:p>
    <w:p>
      <w:pPr>
        <w:pStyle w:val="1128"/>
        <w:numPr>
          <w:ilvl w:val="0"/>
          <w:numId w:val="14"/>
        </w:numPr>
        <w:pBdr/>
        <w:spacing w:after="200"/>
        <w:ind/>
        <w:rPr/>
      </w:pPr>
      <w:r>
        <w:t xml:space="preserve">What is the difference between somatic and genetic cells?</w:t>
      </w:r>
      <w:r>
        <w:tab/>
        <w:t xml:space="preserve"> </w:t>
      </w:r>
      <w:r/>
    </w:p>
    <w:p>
      <w:pPr>
        <w:pStyle w:val="1128"/>
        <w:numPr>
          <w:ilvl w:val="0"/>
          <w:numId w:val="21"/>
        </w:numPr>
        <w:pBdr/>
        <w:spacing w:after="200"/>
        <w:ind/>
        <w:rPr/>
      </w:pPr>
      <w:r>
        <w:t xml:space="preserve">Somatic Cells</w:t>
      </w:r>
      <w:r/>
    </w:p>
    <w:p>
      <w:pPr>
        <w:pStyle w:val="1128"/>
        <w:numPr>
          <w:ilvl w:val="1"/>
          <w:numId w:val="21"/>
        </w:numPr>
        <w:pBdr/>
        <w:spacing w:after="200"/>
        <w:ind/>
        <w:rPr/>
      </w:pPr>
      <w:r>
        <w:t xml:space="preserve">All cells in the body except male/female germ cells</w:t>
      </w:r>
      <w:r/>
    </w:p>
    <w:p>
      <w:pPr>
        <w:pStyle w:val="1128"/>
        <w:numPr>
          <w:ilvl w:val="1"/>
          <w:numId w:val="21"/>
        </w:numPr>
        <w:pBdr/>
        <w:spacing w:after="200"/>
        <w:ind/>
        <w:rPr/>
      </w:pPr>
      <w:r>
        <w:t xml:space="preserve">If enough of these cells are affected, entire bo</w:t>
      </w:r>
      <w:r>
        <w:t xml:space="preserve">dy processes can be disrupted</w:t>
      </w:r>
      <w:r/>
    </w:p>
    <w:p>
      <w:pPr>
        <w:pStyle w:val="1128"/>
        <w:numPr>
          <w:ilvl w:val="1"/>
          <w:numId w:val="21"/>
        </w:numPr>
        <w:pBdr/>
        <w:spacing w:after="200"/>
        <w:ind/>
        <w:rPr/>
      </w:pPr>
      <w:r>
        <w:t xml:space="preserve">Early somatic effects</w:t>
      </w:r>
      <w:r/>
    </w:p>
    <w:p>
      <w:pPr>
        <w:pStyle w:val="1128"/>
        <w:numPr>
          <w:ilvl w:val="2"/>
          <w:numId w:val="21"/>
        </w:numPr>
        <w:pBdr/>
        <w:spacing w:after="200"/>
        <w:ind/>
        <w:rPr/>
      </w:pPr>
      <w:r>
        <w:t xml:space="preserve">Epilation, skin erythema, hematologic depression</w:t>
      </w:r>
      <w:r/>
    </w:p>
    <w:p>
      <w:pPr>
        <w:pStyle w:val="1128"/>
        <w:numPr>
          <w:ilvl w:val="1"/>
          <w:numId w:val="21"/>
        </w:numPr>
        <w:pBdr/>
        <w:spacing w:after="200"/>
        <w:ind/>
        <w:rPr/>
      </w:pPr>
      <w:r>
        <w:t xml:space="preserve">Late somatic effects</w:t>
      </w:r>
      <w:r/>
    </w:p>
    <w:p>
      <w:pPr>
        <w:pStyle w:val="1128"/>
        <w:numPr>
          <w:ilvl w:val="2"/>
          <w:numId w:val="21"/>
        </w:numPr>
        <w:pBdr/>
        <w:spacing w:after="200"/>
        <w:ind/>
        <w:rPr/>
      </w:pPr>
      <w:r>
        <w:t xml:space="preserve">Radiation induced malignancies, cataracts</w:t>
      </w:r>
      <w:r/>
    </w:p>
    <w:p>
      <w:pPr>
        <w:pStyle w:val="1128"/>
        <w:numPr>
          <w:ilvl w:val="0"/>
          <w:numId w:val="21"/>
        </w:numPr>
        <w:pBdr/>
        <w:spacing w:after="200"/>
        <w:ind/>
        <w:rPr/>
      </w:pPr>
      <w:r>
        <w:t xml:space="preserve">Genetic Cells</w:t>
      </w:r>
      <w:r/>
    </w:p>
    <w:p>
      <w:pPr>
        <w:pStyle w:val="1128"/>
        <w:numPr>
          <w:ilvl w:val="1"/>
          <w:numId w:val="21"/>
        </w:numPr>
        <w:pBdr/>
        <w:spacing w:after="200"/>
        <w:ind/>
        <w:rPr/>
      </w:pPr>
      <w:r>
        <w:t xml:space="preserve">Reproductive cells</w:t>
      </w:r>
      <w:r/>
    </w:p>
    <w:p>
      <w:pPr>
        <w:pStyle w:val="1128"/>
        <w:numPr>
          <w:ilvl w:val="1"/>
          <w:numId w:val="21"/>
        </w:numPr>
        <w:pBdr/>
        <w:spacing w:after="200"/>
        <w:ind/>
        <w:rPr/>
      </w:pPr>
      <w:r>
        <w:t xml:space="preserve">If damaged by radiation the damage can be passed to future </w:t>
      </w:r>
      <w:r>
        <w:t xml:space="preserve">generations in the form of mutations in the genes.  Can lead to defects in the offspring.</w:t>
      </w:r>
      <w:r/>
    </w:p>
    <w:p>
      <w:pPr>
        <w:pStyle w:val="1128"/>
        <w:pBdr/>
        <w:spacing/>
        <w:ind w:left="1080"/>
        <w:rPr/>
      </w:pPr>
      <w:r/>
      <w:r/>
    </w:p>
    <w:p>
      <w:pPr>
        <w:pStyle w:val="1128"/>
        <w:pBdr/>
        <w:spacing/>
        <w:ind w:left="1080"/>
        <w:rPr/>
      </w:pPr>
      <w:r/>
      <w:r/>
    </w:p>
    <w:p>
      <w:pPr>
        <w:pStyle w:val="1128"/>
        <w:numPr>
          <w:ilvl w:val="0"/>
          <w:numId w:val="14"/>
        </w:numPr>
        <w:pBdr/>
        <w:spacing w:after="200"/>
        <w:ind/>
        <w:rPr/>
      </w:pPr>
      <w:r>
        <w:t xml:space="preserve">What are the three major effects of irradiation of macromolecules?</w:t>
      </w:r>
      <w:r/>
    </w:p>
    <w:p>
      <w:pPr>
        <w:pStyle w:val="1128"/>
        <w:numPr>
          <w:ilvl w:val="0"/>
          <w:numId w:val="23"/>
        </w:numPr>
        <w:pBdr/>
        <w:spacing w:after="200"/>
        <w:ind/>
        <w:rPr/>
      </w:pPr>
      <w:r>
        <w:t xml:space="preserve">Main-Chain Scission </w:t>
      </w:r>
      <w:r/>
    </w:p>
    <w:p>
      <w:pPr>
        <w:pStyle w:val="1128"/>
        <w:numPr>
          <w:ilvl w:val="1"/>
          <w:numId w:val="23"/>
        </w:numPr>
        <w:pBdr/>
        <w:spacing w:after="200"/>
        <w:ind/>
        <w:rPr/>
      </w:pPr>
      <w:r>
        <w:t xml:space="preserve">Reduces size of macromolecule, makes the solution thinner</w:t>
      </w:r>
      <w:r/>
    </w:p>
    <w:p>
      <w:pPr>
        <w:pStyle w:val="1128"/>
        <w:numPr>
          <w:ilvl w:val="0"/>
          <w:numId w:val="23"/>
        </w:numPr>
        <w:pBdr/>
        <w:spacing w:after="200"/>
        <w:ind/>
        <w:rPr/>
      </w:pPr>
      <w:r>
        <w:t xml:space="preserve">Cross-Linking </w:t>
      </w:r>
      <w:r/>
    </w:p>
    <w:p>
      <w:pPr>
        <w:pStyle w:val="1128"/>
        <w:numPr>
          <w:ilvl w:val="1"/>
          <w:numId w:val="23"/>
        </w:numPr>
        <w:pBdr/>
        <w:spacing w:after="200"/>
        <w:ind/>
        <w:rPr/>
      </w:pPr>
      <w:r>
        <w:t xml:space="preserve">Spurs on the molecule attach to other molecules, makes solution thicker</w:t>
      </w:r>
      <w:r/>
    </w:p>
    <w:p>
      <w:pPr>
        <w:pStyle w:val="1128"/>
        <w:numPr>
          <w:ilvl w:val="0"/>
          <w:numId w:val="23"/>
        </w:numPr>
        <w:pBdr/>
        <w:spacing w:after="200"/>
        <w:ind/>
        <w:rPr/>
      </w:pPr>
      <w:r>
        <w:t xml:space="preserve">Point Lesions</w:t>
      </w:r>
      <w:r/>
    </w:p>
    <w:p>
      <w:pPr>
        <w:pStyle w:val="1128"/>
        <w:numPr>
          <w:ilvl w:val="1"/>
          <w:numId w:val="23"/>
        </w:numPr>
        <w:pBdr/>
        <w:spacing w:after="200"/>
        <w:ind/>
        <w:rPr/>
      </w:pPr>
      <w:r>
        <w:t xml:space="preserve">Disruption in single chemical bond</w:t>
      </w:r>
      <w:r/>
    </w:p>
    <w:p>
      <w:pPr>
        <w:pStyle w:val="1128"/>
        <w:pBdr/>
        <w:spacing/>
        <w:ind w:left="1080"/>
        <w:rPr/>
      </w:pPr>
      <w:r/>
      <w:r/>
    </w:p>
    <w:p>
      <w:pPr>
        <w:pBdr/>
        <w:spacing/>
        <w:ind/>
        <w:rPr/>
      </w:pPr>
      <w:r/>
      <w:r/>
    </w:p>
    <w:p>
      <w:pPr>
        <w:pStyle w:val="1128"/>
        <w:pBdr/>
        <w:spacing/>
        <w:ind w:left="1080"/>
        <w:rPr/>
      </w:pPr>
      <w:r/>
      <w:r/>
    </w:p>
    <w:p>
      <w:pPr>
        <w:pStyle w:val="1128"/>
        <w:numPr>
          <w:ilvl w:val="0"/>
          <w:numId w:val="14"/>
        </w:numPr>
        <w:pBdr/>
        <w:spacing w:after="200"/>
        <w:ind/>
        <w:rPr/>
      </w:pPr>
      <w:r>
        <w:t xml:space="preserve">Describe the process of radiolysis of water.</w:t>
      </w:r>
      <w:r/>
    </w:p>
    <w:p>
      <w:pPr>
        <w:pStyle w:val="1128"/>
        <w:numPr>
          <w:ilvl w:val="0"/>
          <w:numId w:val="24"/>
        </w:numPr>
        <w:pBdr/>
        <w:spacing w:after="200"/>
        <w:ind/>
        <w:rPr/>
      </w:pPr>
      <w:r>
        <w:t xml:space="preserve">An x-ray photon interacts with a water molecule and creates an ion pair made up of a water molecule with a positive charge (HOH+) and an electron (e-)</w:t>
      </w:r>
      <w:r/>
    </w:p>
    <w:p>
      <w:pPr>
        <w:pStyle w:val="1128"/>
        <w:numPr>
          <w:ilvl w:val="0"/>
          <w:numId w:val="24"/>
        </w:numPr>
        <w:pBdr/>
        <w:spacing w:after="200"/>
        <w:ind/>
        <w:rPr/>
      </w:pPr>
      <w:r>
        <w:t xml:space="preserve">The free electron can recombine with the HOH+ returning to a stable state</w:t>
      </w:r>
      <w:r/>
    </w:p>
    <w:p>
      <w:pPr>
        <w:pStyle w:val="1128"/>
        <w:numPr>
          <w:ilvl w:val="0"/>
          <w:numId w:val="24"/>
        </w:numPr>
        <w:pBdr/>
        <w:spacing w:after="200"/>
        <w:ind/>
        <w:rPr/>
      </w:pPr>
      <w:r>
        <w:t xml:space="preserve">The free electron could join an</w:t>
      </w:r>
      <w:r>
        <w:t xml:space="preserve">other water molecule creating a negative water ion (H</w:t>
      </w:r>
      <w:r>
        <w:rPr>
          <w:vertAlign w:val="subscript"/>
        </w:rPr>
        <w:t xml:space="preserve">2</w:t>
      </w:r>
      <w:r>
        <w:t xml:space="preserve">O + e- = HOH-)</w:t>
      </w:r>
      <w:r/>
    </w:p>
    <w:p>
      <w:pPr>
        <w:pStyle w:val="1128"/>
        <w:numPr>
          <w:ilvl w:val="0"/>
          <w:numId w:val="24"/>
        </w:numPr>
        <w:pBdr/>
        <w:spacing w:after="200"/>
        <w:ind/>
        <w:rPr/>
      </w:pPr>
      <w:r>
        <w:t xml:space="preserve">Positive water molecule (HOH+) and negative water molecule (HOH-) are unstable.  They can break apart in an attempt to become stable.</w:t>
      </w:r>
      <w:r/>
    </w:p>
    <w:p>
      <w:pPr>
        <w:pStyle w:val="1128"/>
        <w:pBdr/>
        <w:spacing/>
        <w:ind w:left="1080"/>
        <w:rPr/>
      </w:pPr>
      <w:r/>
      <w:r/>
    </w:p>
    <w:p>
      <w:pPr>
        <w:pStyle w:val="1128"/>
        <w:numPr>
          <w:ilvl w:val="0"/>
          <w:numId w:val="14"/>
        </w:numPr>
        <w:pBdr/>
        <w:spacing w:after="200"/>
        <w:ind/>
        <w:rPr/>
      </w:pPr>
      <w:r>
        <w:t xml:space="preserve">What are the products of radiolysis of water?</w:t>
      </w:r>
      <w:r/>
    </w:p>
    <w:p>
      <w:pPr>
        <w:pStyle w:val="1128"/>
        <w:numPr>
          <w:ilvl w:val="0"/>
          <w:numId w:val="24"/>
        </w:numPr>
        <w:pBdr/>
        <w:spacing w:after="200"/>
        <w:ind/>
        <w:rPr/>
      </w:pPr>
      <w:r>
        <w:t xml:space="preserve">HOH+ b</w:t>
      </w:r>
      <w:r>
        <w:t xml:space="preserve">ecomes H+ (hydrogen ion) and OH* (hydroxyl free radical)</w:t>
      </w:r>
      <w:r/>
    </w:p>
    <w:p>
      <w:pPr>
        <w:pStyle w:val="1128"/>
        <w:numPr>
          <w:ilvl w:val="0"/>
          <w:numId w:val="24"/>
        </w:numPr>
        <w:pBdr/>
        <w:spacing w:after="200"/>
        <w:ind/>
        <w:rPr/>
      </w:pPr>
      <w:r>
        <w:t xml:space="preserve">HOH- becomes OH- (hydroxyl ion) and H* (hydrogen free radical)</w:t>
      </w:r>
      <w:r/>
    </w:p>
    <w:p>
      <w:pPr>
        <w:pStyle w:val="1128"/>
        <w:pBdr/>
        <w:spacing/>
        <w:ind w:left="1080"/>
        <w:rPr/>
      </w:pPr>
      <w:r/>
      <w:r/>
    </w:p>
    <w:p>
      <w:pPr>
        <w:pStyle w:val="1128"/>
        <w:numPr>
          <w:ilvl w:val="0"/>
          <w:numId w:val="14"/>
        </w:numPr>
        <w:pBdr/>
        <w:spacing w:after="200"/>
        <w:ind/>
        <w:rPr/>
      </w:pPr>
      <w:r>
        <w:t xml:space="preserve">What is the difference between direct and indirect action?</w:t>
      </w:r>
      <w:r/>
    </w:p>
    <w:p>
      <w:pPr>
        <w:pStyle w:val="1128"/>
        <w:pBdr/>
        <w:spacing/>
        <w:ind w:left="360"/>
        <w:rPr/>
      </w:pPr>
      <w:r>
        <w:t xml:space="preserve">Direct Action</w:t>
      </w:r>
      <w:r/>
    </w:p>
    <w:p>
      <w:pPr>
        <w:pStyle w:val="1128"/>
        <w:numPr>
          <w:ilvl w:val="0"/>
          <w:numId w:val="25"/>
        </w:numPr>
        <w:pBdr/>
        <w:spacing w:after="200"/>
        <w:ind/>
        <w:rPr/>
      </w:pPr>
      <w:r>
        <w:t xml:space="preserve">When ionizing particles interact directly with DNA, RNA or pro</w:t>
      </w:r>
      <w:r>
        <w:t xml:space="preserve">teins and enzymes</w:t>
      </w:r>
      <w:r/>
    </w:p>
    <w:p>
      <w:pPr>
        <w:pStyle w:val="1128"/>
        <w:pBdr/>
        <w:spacing/>
        <w:ind w:left="360"/>
        <w:rPr/>
      </w:pPr>
      <w:r>
        <w:t xml:space="preserve">Indirect Action </w:t>
      </w:r>
      <w:r/>
    </w:p>
    <w:p>
      <w:pPr>
        <w:pStyle w:val="1128"/>
        <w:numPr>
          <w:ilvl w:val="0"/>
          <w:numId w:val="26"/>
        </w:numPr>
        <w:pBdr/>
        <w:spacing w:after="200"/>
        <w:ind/>
        <w:rPr/>
      </w:pPr>
      <w:r>
        <w:t xml:space="preserve">Radiation interacts with water molecules to produce free radicals</w:t>
      </w:r>
      <w:r/>
    </w:p>
    <w:p>
      <w:pPr>
        <w:pStyle w:val="1128"/>
        <w:numPr>
          <w:ilvl w:val="0"/>
          <w:numId w:val="26"/>
        </w:numPr>
        <w:pBdr/>
        <w:spacing w:after="200"/>
        <w:ind/>
        <w:rPr/>
      </w:pPr>
      <w:r>
        <w:rPr>
          <w:bCs/>
        </w:rPr>
        <w:t xml:space="preserve">Free radicals </w:t>
      </w:r>
      <w:r>
        <w:t xml:space="preserve">act on a molecule such as DNA</w:t>
      </w:r>
      <w:r/>
    </w:p>
    <w:p>
      <w:pPr>
        <w:pStyle w:val="1128"/>
        <w:pBdr/>
        <w:spacing/>
        <w:ind w:left="1080"/>
        <w:rPr/>
      </w:pPr>
      <w:r/>
      <w:r/>
    </w:p>
    <w:p>
      <w:pPr>
        <w:pStyle w:val="1128"/>
        <w:numPr>
          <w:ilvl w:val="0"/>
          <w:numId w:val="14"/>
        </w:numPr>
        <w:pBdr/>
        <w:spacing/>
        <w:ind/>
        <w:rPr/>
      </w:pPr>
      <w:r>
        <w:t xml:space="preserve">Explain the concept of Target Theory and describe what we believe the master molecule is. </w:t>
      </w:r>
      <w:r/>
    </w:p>
    <w:p>
      <w:pPr>
        <w:pStyle w:val="1128"/>
        <w:pBdr/>
        <w:spacing w:after="200"/>
        <w:ind w:left="360"/>
        <w:rPr/>
      </w:pPr>
      <w:r/>
      <w:r/>
    </w:p>
    <w:p>
      <w:pPr>
        <w:pStyle w:val="1128"/>
        <w:numPr>
          <w:ilvl w:val="0"/>
          <w:numId w:val="27"/>
        </w:numPr>
        <w:pBdr/>
        <w:spacing w:after="200"/>
        <w:ind/>
        <w:rPr/>
      </w:pPr>
      <w:r>
        <w:t xml:space="preserve">Theory is that, if the master molecule in a cell is damaged by radiation exposure, the cell will die</w:t>
      </w:r>
      <w:r/>
    </w:p>
    <w:p>
      <w:pPr>
        <w:pStyle w:val="1128"/>
        <w:numPr>
          <w:ilvl w:val="0"/>
          <w:numId w:val="27"/>
        </w:numPr>
        <w:pBdr/>
        <w:spacing w:after="200"/>
        <w:ind/>
        <w:rPr/>
      </w:pPr>
      <w:r>
        <w:t xml:space="preserve">Master molecule, also known as key molecule believed to be DNA</w:t>
      </w:r>
      <w:r/>
    </w:p>
    <w:p>
      <w:pPr>
        <w:pStyle w:val="1128"/>
        <w:pBdr/>
        <w:spacing/>
        <w:ind w:left="1080"/>
        <w:rPr/>
      </w:pPr>
      <w:r/>
      <w:r/>
    </w:p>
    <w:p>
      <w:pPr>
        <w:pStyle w:val="1128"/>
        <w:numPr>
          <w:ilvl w:val="0"/>
          <w:numId w:val="14"/>
        </w:numPr>
        <w:pBdr/>
        <w:spacing w:after="200"/>
        <w:ind/>
        <w:rPr/>
      </w:pPr>
      <w:r>
        <w:t xml:space="preserve">According to the Law of </w:t>
      </w:r>
      <w:r>
        <w:t xml:space="preserve">Bergoni</w:t>
      </w:r>
      <w:r>
        <w:rPr>
          <w:rFonts w:cstheme="minorHAnsi"/>
        </w:rPr>
        <w:t xml:space="preserve">é</w:t>
      </w:r>
      <w:r>
        <w:t xml:space="preserve"> and </w:t>
      </w:r>
      <w:r>
        <w:t xml:space="preserve">Tribondeau</w:t>
      </w:r>
      <w:r>
        <w:t xml:space="preserve"> what determines cells </w:t>
      </w:r>
      <w:r>
        <w:t xml:space="preserve">radiosensitivity</w:t>
      </w:r>
      <w:r>
        <w:t xml:space="preserve">?</w:t>
      </w:r>
      <w:r/>
    </w:p>
    <w:p>
      <w:pPr>
        <w:pStyle w:val="1128"/>
        <w:numPr>
          <w:ilvl w:val="0"/>
          <w:numId w:val="28"/>
        </w:numPr>
        <w:pBdr/>
        <w:spacing w:after="200"/>
        <w:ind/>
        <w:rPr/>
      </w:pPr>
      <w:r>
        <w:t xml:space="preserve">Rad</w:t>
      </w:r>
      <w:r>
        <w:t xml:space="preserve">iosensitivity</w:t>
      </w:r>
      <w:r>
        <w:t xml:space="preserve"> of cells is directly proportional to their reproductive activity</w:t>
      </w:r>
      <w:r/>
    </w:p>
    <w:p>
      <w:pPr>
        <w:pStyle w:val="1128"/>
        <w:numPr>
          <w:ilvl w:val="0"/>
          <w:numId w:val="28"/>
        </w:numPr>
        <w:pBdr/>
        <w:spacing w:after="200"/>
        <w:ind/>
        <w:rPr/>
      </w:pPr>
      <w:r>
        <w:t xml:space="preserve">Young cells are replicating at a higher rate than older cells, and so are more radiosensitive</w:t>
      </w:r>
      <w:r/>
    </w:p>
    <w:p>
      <w:pPr>
        <w:pStyle w:val="1128"/>
        <w:pBdr/>
        <w:spacing/>
        <w:ind w:left="1080"/>
        <w:rPr/>
      </w:pPr>
      <w:r/>
      <w:r/>
    </w:p>
    <w:p>
      <w:pPr>
        <w:pStyle w:val="1128"/>
        <w:numPr>
          <w:ilvl w:val="0"/>
          <w:numId w:val="14"/>
        </w:numPr>
        <w:pBdr/>
        <w:spacing w:after="200"/>
        <w:ind/>
        <w:rPr/>
      </w:pPr>
      <w:r>
        <w:t xml:space="preserve">What is the purpose of radiation dose response curves?</w:t>
      </w:r>
      <w:r/>
    </w:p>
    <w:p>
      <w:pPr>
        <w:pStyle w:val="1128"/>
        <w:numPr>
          <w:ilvl w:val="0"/>
          <w:numId w:val="29"/>
        </w:numPr>
        <w:pBdr/>
        <w:spacing w:after="200"/>
        <w:ind/>
        <w:rPr/>
      </w:pPr>
      <w:r>
        <w:t xml:space="preserve">To predict the risk of mali</w:t>
      </w:r>
      <w:r>
        <w:t xml:space="preserve">gnancy in human populations exposed to low levels of ionizing radiation</w:t>
      </w:r>
      <w:r/>
    </w:p>
    <w:p>
      <w:pPr>
        <w:pStyle w:val="1128"/>
        <w:numPr>
          <w:ilvl w:val="0"/>
          <w:numId w:val="29"/>
        </w:numPr>
        <w:pBdr/>
        <w:spacing w:after="200"/>
        <w:ind/>
        <w:rPr/>
      </w:pPr>
      <w:r>
        <w:t xml:space="preserve">Helps us better understand risk and develop safety precautions</w:t>
      </w:r>
      <w:r/>
    </w:p>
    <w:p>
      <w:pPr>
        <w:pStyle w:val="1128"/>
        <w:pBdr/>
        <w:spacing/>
        <w:ind w:left="1080"/>
        <w:rPr/>
      </w:pPr>
      <w:r/>
      <w:r/>
    </w:p>
    <w:p>
      <w:pPr>
        <w:pStyle w:val="1128"/>
        <w:numPr>
          <w:ilvl w:val="0"/>
          <w:numId w:val="14"/>
        </w:numPr>
        <w:pBdr/>
        <w:spacing w:after="200"/>
        <w:ind/>
        <w:rPr/>
      </w:pPr>
      <w:r>
        <w:t xml:space="preserve">What is the difference between threshold and </w:t>
      </w:r>
      <w:r>
        <w:t xml:space="preserve">nonthreshold</w:t>
      </w:r>
      <w:r>
        <w:t xml:space="preserve">?</w:t>
      </w:r>
      <w:r/>
    </w:p>
    <w:p>
      <w:pPr>
        <w:pStyle w:val="1128"/>
        <w:pBdr/>
        <w:spacing/>
        <w:ind w:left="360"/>
        <w:rPr/>
      </w:pPr>
      <w:r>
        <w:t xml:space="preserve">Threshold</w:t>
      </w:r>
      <w:r/>
    </w:p>
    <w:p>
      <w:pPr>
        <w:pStyle w:val="1128"/>
        <w:numPr>
          <w:ilvl w:val="0"/>
          <w:numId w:val="30"/>
        </w:numPr>
        <w:pBdr/>
        <w:spacing w:after="200"/>
        <w:ind/>
        <w:rPr/>
      </w:pPr>
      <w:r>
        <w:t xml:space="preserve">A point at which a response to radiation first occu</w:t>
      </w:r>
      <w:r>
        <w:t xml:space="preserve">rs</w:t>
      </w:r>
      <w:r/>
    </w:p>
    <w:p>
      <w:pPr>
        <w:pStyle w:val="1128"/>
        <w:numPr>
          <w:ilvl w:val="0"/>
          <w:numId w:val="30"/>
        </w:numPr>
        <w:pBdr/>
        <w:spacing w:after="200"/>
        <w:ind/>
        <w:rPr/>
      </w:pPr>
      <w:r>
        <w:t xml:space="preserve">No biological effects are observed below this point/dose.</w:t>
      </w:r>
      <w:r/>
    </w:p>
    <w:p>
      <w:pPr>
        <w:pStyle w:val="1128"/>
        <w:pBdr/>
        <w:spacing/>
        <w:ind w:left="360"/>
        <w:rPr/>
      </w:pPr>
      <w:r>
        <w:t xml:space="preserve">Nonthreshold</w:t>
      </w:r>
      <w:r/>
    </w:p>
    <w:p>
      <w:pPr>
        <w:pStyle w:val="1128"/>
        <w:numPr>
          <w:ilvl w:val="0"/>
          <w:numId w:val="31"/>
        </w:numPr>
        <w:pBdr/>
        <w:spacing w:after="200"/>
        <w:ind/>
        <w:rPr/>
      </w:pPr>
      <w:r>
        <w:t xml:space="preserve">No “safe” dose levels</w:t>
      </w:r>
      <w:r/>
    </w:p>
    <w:p>
      <w:pPr>
        <w:pStyle w:val="1128"/>
        <w:numPr>
          <w:ilvl w:val="0"/>
          <w:numId w:val="31"/>
        </w:numPr>
        <w:pBdr/>
        <w:spacing w:after="200"/>
        <w:ind/>
        <w:rPr/>
      </w:pPr>
      <w:r>
        <w:t xml:space="preserve">Any dose can produce a response or biological effect</w:t>
      </w:r>
      <w:r/>
    </w:p>
    <w:p>
      <w:pPr>
        <w:pStyle w:val="1128"/>
        <w:pBdr/>
        <w:spacing/>
        <w:ind w:left="1080"/>
        <w:rPr/>
      </w:pPr>
      <w:r/>
      <w:r/>
    </w:p>
    <w:p>
      <w:pPr>
        <w:pStyle w:val="1128"/>
        <w:pBdr/>
        <w:spacing/>
        <w:ind w:left="1080"/>
        <w:rPr/>
      </w:pPr>
      <w:r/>
      <w:r/>
    </w:p>
    <w:p>
      <w:pPr>
        <w:pStyle w:val="1128"/>
        <w:pBdr/>
        <w:spacing/>
        <w:ind w:left="1080"/>
        <w:rPr/>
      </w:pPr>
      <w:r/>
      <w:r/>
    </w:p>
    <w:p>
      <w:pPr>
        <w:pStyle w:val="1128"/>
        <w:pBdr/>
        <w:spacing/>
        <w:ind w:left="1080"/>
        <w:rPr/>
      </w:pPr>
      <w:r/>
      <w:r/>
    </w:p>
    <w:p>
      <w:pPr>
        <w:pStyle w:val="1128"/>
        <w:numPr>
          <w:ilvl w:val="0"/>
          <w:numId w:val="14"/>
        </w:numPr>
        <w:pBdr/>
        <w:spacing w:after="200"/>
        <w:ind/>
        <w:rPr/>
      </w:pPr>
      <w:r>
        <w:t xml:space="preserve"> Label the following dose response curves</w:t>
      </w:r>
      <w:r/>
    </w:p>
    <w:p>
      <w:pPr>
        <w:pStyle w:val="1128"/>
        <w:pBdr/>
        <w:spacing w:after="200"/>
        <w:ind w:left="360"/>
        <w:rPr/>
      </w:pPr>
      <w:r>
        <w:t xml:space="preserve">Linear Non threshold</w:t>
      </w:r>
      <w:r>
        <w:tab/>
      </w:r>
      <w:r>
        <w:tab/>
      </w:r>
      <w:r>
        <w:tab/>
      </w:r>
      <w:r>
        <w:tab/>
        <w:t xml:space="preserve">Nonlinear Threshold</w:t>
      </w:r>
      <w:r/>
    </w:p>
    <w:p>
      <w:pPr>
        <w:pStyle w:val="1128"/>
        <w:pBdr/>
        <w:spacing/>
        <w:ind w:left="360"/>
        <w:rPr/>
      </w:pPr>
      <w:r/>
      <w:r/>
    </w:p>
    <w:p>
      <w:pPr>
        <w:pStyle w:val="1128"/>
        <w:pBdr/>
        <w:spacing/>
        <w:ind w:left="360"/>
        <w:rPr/>
      </w:pPr>
      <w:r>
        <mc:AlternateContent>
          <mc:Choice Requires="wpg">
            <w:drawing>
              <wp:inline xmlns:wp="http://schemas.openxmlformats.org/drawingml/2006/wordprocessingDrawing" distT="0" distB="0" distL="0" distR="0">
                <wp:extent cx="1950821" cy="1876425"/>
                <wp:effectExtent l="0" t="0" r="0" b="0"/>
                <wp:docPr id="5" name="Picture 12" descr="nonthreshold"/>
                <wp:cNvGraphicFramePr>
                  <a:graphicFrameLocks xmlns:a="http://schemas.openxmlformats.org/drawingml/2006/main" noChangeAspect="1" noGrp="1"/>
                </wp:cNvGraphicFramePr>
                <a:graphic xmlns:a="http://schemas.openxmlformats.org/drawingml/2006/main">
                  <a:graphicData uri="http://schemas.openxmlformats.org/drawingml/2006/picture">
                    <pic:pic xmlns:pic="http://schemas.openxmlformats.org/drawingml/2006/picture">
                      <pic:nvPicPr>
                        <pic:cNvPr id="4" name="Picture 12" descr="nonthreshold"/>
                        <pic:cNvPicPr>
                          <a:picLocks noChangeAspect="1" noGrp="1"/>
                        </pic:cNvPicPr>
                        <pic:nvPr/>
                      </pic:nvPicPr>
                      <pic:blipFill>
                        <a:blip r:embed="rId19"/>
                        <a:srcRect l="-1724" t="1" r="0" b="-1524"/>
                        <a:stretch/>
                      </pic:blipFill>
                      <pic:spPr bwMode="auto">
                        <a:xfrm>
                          <a:off x="0" y="0"/>
                          <a:ext cx="1950821" cy="187642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153.61pt;height:147.75pt;mso-wrap-distance-left:0.00pt;mso-wrap-distance-top:0.00pt;mso-wrap-distance-right:0.00pt;mso-wrap-distance-bottom:0.00pt;z-index:1;" stroked="f">
                <v:imagedata r:id="rId19" o:title="" croptop="1f" cropleft="-1129f" cropbottom="-998f" cropright="0f"/>
                <o:lock v:ext="edit" rotation="t"/>
              </v:shape>
            </w:pict>
          </mc:Fallback>
        </mc:AlternateContent>
      </w:r>
      <w:r>
        <w:tab/>
      </w:r>
      <w:r>
        <w:tab/>
      </w:r>
      <w:r>
        <mc:AlternateContent>
          <mc:Choice Requires="wpg">
            <w:drawing>
              <wp:inline xmlns:wp="http://schemas.openxmlformats.org/drawingml/2006/wordprocessingDrawing" distT="0" distB="0" distL="0" distR="0">
                <wp:extent cx="1808222" cy="1809750"/>
                <wp:effectExtent l="0" t="0" r="1905" b="0"/>
                <wp:docPr id="6" name="Picture 14" descr="thresh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4" descr="threshold"/>
                        <pic:cNvPicPr>
                          <a:picLocks noChangeAspect="1"/>
                        </pic:cNvPicPr>
                        <pic:nvPr/>
                      </pic:nvPicPr>
                      <pic:blipFill>
                        <a:blip r:embed="rId20"/>
                        <a:srcRect l="2028" t="0" r="0" b="-1325"/>
                        <a:stretch/>
                      </pic:blipFill>
                      <pic:spPr bwMode="auto">
                        <a:xfrm>
                          <a:off x="0" y="0"/>
                          <a:ext cx="1813022" cy="181455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142.38pt;height:142.50pt;mso-wrap-distance-left:0.00pt;mso-wrap-distance-top:0.00pt;mso-wrap-distance-right:0.00pt;mso-wrap-distance-bottom:0.00pt;z-index:1;" stroked="f">
                <v:imagedata r:id="rId20" o:title="" croptop="0f" cropleft="1329f" cropbottom="-867f" cropright="0f"/>
                <o:lock v:ext="edit" rotation="t"/>
              </v:shape>
            </w:pict>
          </mc:Fallback>
        </mc:AlternateContent>
      </w:r>
      <w:r/>
    </w:p>
    <w:p>
      <w:pPr>
        <w:pStyle w:val="1128"/>
        <w:pBdr/>
        <w:spacing/>
        <w:ind w:left="360"/>
        <w:rPr/>
      </w:pPr>
      <w:r/>
      <w:r/>
    </w:p>
    <w:p>
      <w:pPr>
        <w:pStyle w:val="1128"/>
        <w:numPr>
          <w:ilvl w:val="0"/>
          <w:numId w:val="14"/>
        </w:numPr>
        <w:pBdr/>
        <w:spacing/>
        <w:ind/>
        <w:rPr/>
      </w:pPr>
      <w:r>
        <w:t xml:space="preserve">E</w:t>
      </w:r>
      <w:r>
        <w:t xml:space="preserve">xplain the concept of somatic effects. How are these effects classified?</w:t>
      </w:r>
      <w:r/>
    </w:p>
    <w:p>
      <w:pPr>
        <w:pStyle w:val="1128"/>
        <w:pBdr/>
        <w:spacing w:after="200"/>
        <w:ind w:left="360"/>
        <w:rPr/>
      </w:pPr>
      <w:r>
        <w:tab/>
      </w:r>
      <w:r/>
    </w:p>
    <w:p>
      <w:pPr>
        <w:pStyle w:val="1128"/>
        <w:numPr>
          <w:ilvl w:val="0"/>
          <w:numId w:val="32"/>
        </w:numPr>
        <w:pBdr/>
        <w:spacing w:after="200"/>
        <w:ind/>
        <w:rPr/>
      </w:pPr>
      <w:r>
        <w:t xml:space="preserve">When a living organism is biologically damaged due to radiation exposure</w:t>
      </w:r>
      <w:r/>
    </w:p>
    <w:p>
      <w:pPr>
        <w:pStyle w:val="1128"/>
        <w:numPr>
          <w:ilvl w:val="0"/>
          <w:numId w:val="32"/>
        </w:numPr>
        <w:pBdr/>
        <w:spacing w:after="200"/>
        <w:ind/>
        <w:rPr/>
      </w:pPr>
      <w:r>
        <w:t xml:space="preserve">Effects are classified as early or late depending on the length of time from exposure to the first appearanc</w:t>
      </w:r>
      <w:r>
        <w:t xml:space="preserve">e of symptoms</w:t>
      </w:r>
      <w:r/>
    </w:p>
    <w:p>
      <w:pPr>
        <w:pStyle w:val="1128"/>
        <w:numPr>
          <w:ilvl w:val="0"/>
          <w:numId w:val="32"/>
        </w:numPr>
        <w:pBdr/>
        <w:spacing w:after="200"/>
        <w:ind/>
        <w:rPr/>
      </w:pPr>
      <w:r>
        <w:t xml:space="preserve">Early</w:t>
      </w:r>
      <w:r/>
    </w:p>
    <w:p>
      <w:pPr>
        <w:pStyle w:val="1128"/>
        <w:numPr>
          <w:ilvl w:val="1"/>
          <w:numId w:val="32"/>
        </w:numPr>
        <w:pBdr/>
        <w:spacing w:after="200"/>
        <w:ind/>
        <w:rPr/>
      </w:pPr>
      <w:r>
        <w:t xml:space="preserve">When biologic effects of radiation occur relatively soon after receiving radiation dose</w:t>
      </w:r>
      <w:r/>
    </w:p>
    <w:p>
      <w:pPr>
        <w:pStyle w:val="1128"/>
        <w:numPr>
          <w:ilvl w:val="0"/>
          <w:numId w:val="32"/>
        </w:numPr>
        <w:pBdr/>
        <w:spacing w:after="200"/>
        <w:ind/>
        <w:rPr/>
      </w:pPr>
      <w:r>
        <w:t xml:space="preserve">Late</w:t>
      </w:r>
      <w:r/>
    </w:p>
    <w:p>
      <w:pPr>
        <w:pStyle w:val="1128"/>
        <w:numPr>
          <w:ilvl w:val="1"/>
          <w:numId w:val="32"/>
        </w:numPr>
        <w:pBdr/>
        <w:spacing w:after="200"/>
        <w:ind/>
        <w:rPr/>
      </w:pPr>
      <w:r>
        <w:t xml:space="preserve">Responses that do not manifest for </w:t>
      </w:r>
      <w:r>
        <w:rPr>
          <w:bCs/>
        </w:rPr>
        <w:t xml:space="preserve">several months or years</w:t>
      </w:r>
      <w:r>
        <w:t xml:space="preserve"> after the radiation exposure</w:t>
      </w:r>
      <w:r/>
    </w:p>
    <w:p>
      <w:pPr>
        <w:pStyle w:val="1128"/>
        <w:pBdr/>
        <w:spacing/>
        <w:ind w:left="1080"/>
        <w:rPr/>
      </w:pPr>
      <w:r/>
      <w:r/>
    </w:p>
    <w:p>
      <w:pPr>
        <w:pStyle w:val="1128"/>
        <w:numPr>
          <w:ilvl w:val="0"/>
          <w:numId w:val="14"/>
        </w:numPr>
        <w:pBdr/>
        <w:spacing w:after="200"/>
        <w:ind/>
        <w:rPr/>
      </w:pPr>
      <w:r>
        <w:t xml:space="preserve">What is the difference between stochastic and determin</w:t>
      </w:r>
      <w:r>
        <w:t xml:space="preserve">istic reactions?</w:t>
      </w:r>
      <w:r/>
    </w:p>
    <w:p>
      <w:pPr>
        <w:pStyle w:val="1128"/>
        <w:pBdr/>
        <w:spacing/>
        <w:ind w:left="360"/>
        <w:rPr/>
      </w:pPr>
      <w:r>
        <w:t xml:space="preserve">Stochastic </w:t>
      </w:r>
      <w:r/>
    </w:p>
    <w:p>
      <w:pPr>
        <w:pStyle w:val="1128"/>
        <w:numPr>
          <w:ilvl w:val="0"/>
          <w:numId w:val="33"/>
        </w:numPr>
        <w:pBdr/>
        <w:spacing w:after="200"/>
        <w:ind/>
        <w:rPr/>
      </w:pPr>
      <w:r>
        <w:t xml:space="preserve">Due to low doses of radiation delivered over a long period of time</w:t>
      </w:r>
      <w:r/>
    </w:p>
    <w:p>
      <w:pPr>
        <w:pStyle w:val="1128"/>
        <w:numPr>
          <w:ilvl w:val="0"/>
          <w:numId w:val="33"/>
        </w:numPr>
        <w:pBdr/>
        <w:spacing w:after="200"/>
        <w:ind/>
        <w:rPr/>
      </w:pPr>
      <w:r>
        <w:t xml:space="preserve">Randomly occurring biological changes</w:t>
      </w:r>
      <w:r/>
    </w:p>
    <w:p>
      <w:pPr>
        <w:pStyle w:val="1128"/>
        <w:numPr>
          <w:ilvl w:val="0"/>
          <w:numId w:val="33"/>
        </w:numPr>
        <w:pBdr/>
        <w:spacing w:after="200"/>
        <w:ind/>
        <w:rPr/>
      </w:pPr>
      <w:r>
        <w:t xml:space="preserve">Severity is Independent of dose </w:t>
      </w:r>
      <w:r/>
    </w:p>
    <w:p>
      <w:pPr>
        <w:pStyle w:val="1128"/>
        <w:pBdr/>
        <w:spacing/>
        <w:ind w:left="360"/>
        <w:rPr/>
      </w:pPr>
      <w:r>
        <w:t xml:space="preserve">Deterministic (tissue reactions/non-stochastic)</w:t>
      </w:r>
      <w:r/>
    </w:p>
    <w:p>
      <w:pPr>
        <w:pStyle w:val="1128"/>
        <w:numPr>
          <w:ilvl w:val="0"/>
          <w:numId w:val="33"/>
        </w:numPr>
        <w:pBdr/>
        <w:spacing w:after="200"/>
        <w:ind/>
        <w:rPr/>
      </w:pPr>
      <w:r>
        <w:t xml:space="preserve">Due to substantial dose within short period of time</w:t>
      </w:r>
      <w:r/>
    </w:p>
    <w:p>
      <w:pPr>
        <w:pStyle w:val="1128"/>
        <w:numPr>
          <w:ilvl w:val="0"/>
          <w:numId w:val="33"/>
        </w:numPr>
        <w:pBdr/>
        <w:spacing w:after="200"/>
        <w:ind/>
        <w:rPr/>
      </w:pPr>
      <w:r>
        <w:t xml:space="preserve">Severity of effects increases with increase in dose</w:t>
      </w:r>
      <w:r/>
    </w:p>
    <w:p>
      <w:pPr>
        <w:pStyle w:val="1128"/>
        <w:pBdr/>
        <w:spacing/>
        <w:ind w:left="1080"/>
        <w:rPr/>
      </w:pPr>
      <w:r/>
      <w:r/>
    </w:p>
    <w:p>
      <w:pPr>
        <w:pStyle w:val="1128"/>
        <w:numPr>
          <w:ilvl w:val="0"/>
          <w:numId w:val="14"/>
        </w:numPr>
        <w:pBdr/>
        <w:spacing w:after="200"/>
        <w:ind/>
        <w:rPr/>
      </w:pPr>
      <w:r>
        <w:t xml:space="preserve">Are stochastic effects threshold or </w:t>
      </w:r>
      <w:r>
        <w:t xml:space="preserve">nonthreshold</w:t>
      </w:r>
      <w:r>
        <w:t xml:space="preserve">?  Explain why.</w:t>
      </w:r>
      <w:r>
        <w:tab/>
      </w:r>
      <w:r/>
    </w:p>
    <w:p>
      <w:pPr>
        <w:pStyle w:val="1128"/>
        <w:numPr>
          <w:ilvl w:val="0"/>
          <w:numId w:val="35"/>
        </w:numPr>
        <w:pBdr/>
        <w:spacing w:after="200"/>
        <w:ind/>
        <w:rPr/>
      </w:pPr>
      <w:r>
        <w:t xml:space="preserve">Non threshold</w:t>
      </w:r>
      <w:r/>
    </w:p>
    <w:p>
      <w:pPr>
        <w:pStyle w:val="1128"/>
        <w:numPr>
          <w:ilvl w:val="1"/>
          <w:numId w:val="35"/>
        </w:numPr>
        <w:pBdr/>
        <w:spacing w:after="200"/>
        <w:ind/>
        <w:rPr/>
      </w:pPr>
      <w:r>
        <w:t xml:space="preserve">There is no </w:t>
      </w:r>
      <w:r>
        <w:rPr>
          <w:bCs/>
        </w:rPr>
        <w:t xml:space="preserve">minimum</w:t>
      </w:r>
      <w:r>
        <w:t xml:space="preserve"> dose to see the effect</w:t>
      </w:r>
      <w:r/>
    </w:p>
    <w:p>
      <w:pPr>
        <w:pStyle w:val="1128"/>
        <w:numPr>
          <w:ilvl w:val="0"/>
          <w:numId w:val="35"/>
        </w:numPr>
        <w:pBdr/>
        <w:spacing w:after="200"/>
        <w:ind/>
        <w:rPr/>
      </w:pPr>
      <w:r>
        <w:t xml:space="preserve">Randomly occurring</w:t>
      </w:r>
      <w:r/>
    </w:p>
    <w:p>
      <w:pPr>
        <w:pStyle w:val="1128"/>
        <w:numPr>
          <w:ilvl w:val="1"/>
          <w:numId w:val="35"/>
        </w:numPr>
        <w:pBdr/>
        <w:spacing w:after="200"/>
        <w:ind/>
        <w:rPr/>
      </w:pPr>
      <w:r>
        <w:t xml:space="preserve">No telling</w:t>
      </w:r>
      <w:r>
        <w:t xml:space="preserve"> who will experience an effect</w:t>
      </w:r>
      <w:r/>
    </w:p>
    <w:p>
      <w:pPr>
        <w:pStyle w:val="1128"/>
        <w:numPr>
          <w:ilvl w:val="1"/>
          <w:numId w:val="35"/>
        </w:numPr>
        <w:pBdr/>
        <w:spacing w:after="200"/>
        <w:ind/>
        <w:rPr/>
      </w:pPr>
      <w:r>
        <w:t xml:space="preserve">As the </w:t>
      </w:r>
      <w:r>
        <w:rPr>
          <w:bCs/>
        </w:rPr>
        <w:t xml:space="preserve">dose</w:t>
      </w:r>
      <w:r>
        <w:t xml:space="preserve"> increases, the </w:t>
      </w:r>
      <w:r>
        <w:rPr>
          <w:bCs/>
        </w:rPr>
        <w:t xml:space="preserve">probability</w:t>
      </w:r>
      <w:r>
        <w:t xml:space="preserve"> of an effect increases</w:t>
      </w:r>
      <w:r/>
    </w:p>
    <w:p>
      <w:pPr>
        <w:pStyle w:val="1128"/>
        <w:pBdr/>
        <w:spacing/>
        <w:ind w:left="2520"/>
        <w:rPr/>
      </w:pPr>
      <w:r/>
      <w:r/>
    </w:p>
    <w:p>
      <w:pPr>
        <w:pStyle w:val="1128"/>
        <w:numPr>
          <w:ilvl w:val="0"/>
          <w:numId w:val="14"/>
        </w:numPr>
        <w:pBdr/>
        <w:spacing w:after="200"/>
        <w:ind/>
        <w:rPr/>
      </w:pPr>
      <w:r>
        <w:t xml:space="preserve">List examples of stochastic effects</w:t>
      </w:r>
      <w:r/>
    </w:p>
    <w:p>
      <w:pPr>
        <w:pStyle w:val="1128"/>
        <w:numPr>
          <w:ilvl w:val="1"/>
          <w:numId w:val="36"/>
        </w:numPr>
        <w:pBdr/>
        <w:spacing w:after="200"/>
        <w:ind/>
        <w:rPr/>
      </w:pPr>
      <w:r>
        <w:t xml:space="preserve">Cancer</w:t>
      </w:r>
      <w:r/>
    </w:p>
    <w:p>
      <w:pPr>
        <w:pStyle w:val="1128"/>
        <w:numPr>
          <w:ilvl w:val="1"/>
          <w:numId w:val="36"/>
        </w:numPr>
        <w:pBdr/>
        <w:spacing w:after="200"/>
        <w:ind/>
        <w:rPr/>
      </w:pPr>
      <w:r>
        <w:t xml:space="preserve">Genetic Effects</w:t>
      </w:r>
      <w:r/>
    </w:p>
    <w:p>
      <w:pPr>
        <w:pStyle w:val="1128"/>
        <w:pBdr/>
        <w:spacing/>
        <w:ind w:left="1080"/>
        <w:rPr/>
      </w:pPr>
      <w:r/>
      <w:r/>
    </w:p>
    <w:p>
      <w:pPr>
        <w:pStyle w:val="1128"/>
        <w:numPr>
          <w:ilvl w:val="0"/>
          <w:numId w:val="14"/>
        </w:numPr>
        <w:pBdr/>
        <w:spacing w:after="200"/>
        <w:ind/>
        <w:rPr/>
      </w:pPr>
      <w:r>
        <w:t xml:space="preserve">List examples of early deterministic effects</w:t>
      </w:r>
      <w:r>
        <w:tab/>
      </w:r>
      <w:r/>
    </w:p>
    <w:p>
      <w:pPr>
        <w:pStyle w:val="1128"/>
        <w:numPr>
          <w:ilvl w:val="0"/>
          <w:numId w:val="34"/>
        </w:numPr>
        <w:pBdr/>
        <w:spacing w:after="200"/>
        <w:ind/>
        <w:rPr/>
      </w:pPr>
      <w:r>
        <w:t xml:space="preserve">Nausea</w:t>
      </w:r>
      <w:r/>
    </w:p>
    <w:p>
      <w:pPr>
        <w:pStyle w:val="1128"/>
        <w:numPr>
          <w:ilvl w:val="0"/>
          <w:numId w:val="34"/>
        </w:numPr>
        <w:pBdr/>
        <w:spacing w:after="200"/>
        <w:ind/>
        <w:rPr/>
      </w:pPr>
      <w:r>
        <w:t xml:space="preserve">Fatigue</w:t>
      </w:r>
      <w:r/>
    </w:p>
    <w:p>
      <w:pPr>
        <w:pStyle w:val="1128"/>
        <w:numPr>
          <w:ilvl w:val="0"/>
          <w:numId w:val="34"/>
        </w:numPr>
        <w:pBdr/>
        <w:spacing w:after="200"/>
        <w:ind/>
        <w:rPr/>
      </w:pPr>
      <w:r>
        <w:t xml:space="preserve">Erythema </w:t>
      </w:r>
      <w:r/>
    </w:p>
    <w:p>
      <w:pPr>
        <w:pStyle w:val="1128"/>
        <w:numPr>
          <w:ilvl w:val="0"/>
          <w:numId w:val="34"/>
        </w:numPr>
        <w:pBdr/>
        <w:spacing w:after="200"/>
        <w:ind/>
        <w:rPr/>
      </w:pPr>
      <w:r>
        <w:t xml:space="preserve">Epilation </w:t>
      </w:r>
      <w:r/>
    </w:p>
    <w:p>
      <w:pPr>
        <w:pStyle w:val="1128"/>
        <w:numPr>
          <w:ilvl w:val="0"/>
          <w:numId w:val="34"/>
        </w:numPr>
        <w:pBdr/>
        <w:spacing w:after="200"/>
        <w:ind/>
        <w:rPr/>
      </w:pPr>
      <w:r>
        <w:t xml:space="preserve">Blood disorders</w:t>
      </w:r>
      <w:r/>
    </w:p>
    <w:p>
      <w:pPr>
        <w:pStyle w:val="1128"/>
        <w:numPr>
          <w:ilvl w:val="0"/>
          <w:numId w:val="34"/>
        </w:numPr>
        <w:pBdr/>
        <w:spacing w:after="200"/>
        <w:ind/>
        <w:rPr/>
      </w:pPr>
      <w:r>
        <w:t xml:space="preserve">Intestinal disorders</w:t>
      </w:r>
      <w:r/>
    </w:p>
    <w:p>
      <w:pPr>
        <w:pStyle w:val="1128"/>
        <w:numPr>
          <w:ilvl w:val="0"/>
          <w:numId w:val="34"/>
        </w:numPr>
        <w:pBdr/>
        <w:spacing w:after="200"/>
        <w:ind/>
        <w:rPr/>
      </w:pPr>
      <w:r>
        <w:t xml:space="preserve">Fever</w:t>
      </w:r>
      <w:r/>
    </w:p>
    <w:p>
      <w:pPr>
        <w:pStyle w:val="1128"/>
        <w:numPr>
          <w:ilvl w:val="0"/>
          <w:numId w:val="34"/>
        </w:numPr>
        <w:pBdr/>
        <w:spacing w:after="200"/>
        <w:ind/>
        <w:rPr/>
      </w:pPr>
      <w:r>
        <w:t xml:space="preserve">Dry and moist desquamation</w:t>
      </w:r>
      <w:r/>
    </w:p>
    <w:p>
      <w:pPr>
        <w:pStyle w:val="1128"/>
        <w:numPr>
          <w:ilvl w:val="0"/>
          <w:numId w:val="34"/>
        </w:numPr>
        <w:pBdr/>
        <w:spacing w:after="200"/>
        <w:ind/>
        <w:rPr/>
      </w:pPr>
      <w:r>
        <w:t xml:space="preserve">Depressed sperm count</w:t>
      </w:r>
      <w:r/>
    </w:p>
    <w:p>
      <w:pPr>
        <w:pStyle w:val="1128"/>
        <w:numPr>
          <w:ilvl w:val="0"/>
          <w:numId w:val="34"/>
        </w:numPr>
        <w:pBdr/>
        <w:spacing w:after="200"/>
        <w:ind/>
        <w:rPr/>
      </w:pPr>
      <w:r>
        <w:t xml:space="preserve">Temporary sterility in male and female</w:t>
      </w:r>
      <w:r/>
    </w:p>
    <w:p>
      <w:pPr>
        <w:pStyle w:val="1128"/>
        <w:numPr>
          <w:ilvl w:val="0"/>
          <w:numId w:val="34"/>
        </w:numPr>
        <w:pBdr/>
        <w:spacing w:after="200"/>
        <w:ind/>
        <w:rPr/>
      </w:pPr>
      <w:r>
        <w:t xml:space="preserve">Injury to CNS</w:t>
      </w:r>
      <w:r/>
    </w:p>
    <w:p>
      <w:pPr>
        <w:pStyle w:val="1128"/>
        <w:numPr>
          <w:ilvl w:val="0"/>
          <w:numId w:val="34"/>
        </w:numPr>
        <w:pBdr/>
        <w:spacing w:after="200"/>
        <w:ind/>
        <w:rPr/>
      </w:pPr>
      <w:r>
        <w:t xml:space="preserve">ARS when body exposed to very high dose of radiation</w:t>
      </w:r>
      <w:r/>
    </w:p>
    <w:p>
      <w:pPr>
        <w:pStyle w:val="1128"/>
        <w:pBdr/>
        <w:spacing w:after="200"/>
        <w:ind w:left="1080"/>
        <w:rPr/>
      </w:pPr>
      <w:r/>
      <w:r/>
    </w:p>
    <w:p>
      <w:pPr>
        <w:pStyle w:val="1128"/>
        <w:numPr>
          <w:ilvl w:val="0"/>
          <w:numId w:val="14"/>
        </w:numPr>
        <w:pBdr/>
        <w:spacing w:after="200"/>
        <w:ind/>
        <w:rPr/>
      </w:pPr>
      <w:r>
        <w:t xml:space="preserve">List examples of late deterministic effects</w:t>
      </w:r>
      <w:r/>
    </w:p>
    <w:p>
      <w:pPr>
        <w:pStyle w:val="1128"/>
        <w:numPr>
          <w:ilvl w:val="1"/>
          <w:numId w:val="44"/>
        </w:numPr>
        <w:pBdr/>
        <w:spacing w:after="200"/>
        <w:ind/>
        <w:rPr/>
      </w:pPr>
      <w:r>
        <w:t xml:space="preserve">Cataract</w:t>
      </w:r>
      <w:r/>
    </w:p>
    <w:p>
      <w:pPr>
        <w:pStyle w:val="1128"/>
        <w:numPr>
          <w:ilvl w:val="1"/>
          <w:numId w:val="44"/>
        </w:numPr>
        <w:pBdr/>
        <w:spacing w:after="200"/>
        <w:ind/>
        <w:rPr/>
      </w:pPr>
      <w:r>
        <w:t xml:space="preserve">Reduced fertility</w:t>
      </w:r>
      <w:r/>
    </w:p>
    <w:p>
      <w:pPr>
        <w:pStyle w:val="1128"/>
        <w:numPr>
          <w:ilvl w:val="1"/>
          <w:numId w:val="44"/>
        </w:numPr>
        <w:pBdr/>
        <w:spacing w:after="200"/>
        <w:ind/>
        <w:rPr/>
      </w:pPr>
      <w:r>
        <w:t xml:space="preserve">St</w:t>
      </w:r>
      <w:r>
        <w:t xml:space="preserve">erility</w:t>
      </w:r>
      <w:r/>
    </w:p>
    <w:p>
      <w:pPr>
        <w:pStyle w:val="1128"/>
        <w:numPr>
          <w:ilvl w:val="1"/>
          <w:numId w:val="44"/>
        </w:numPr>
        <w:pBdr/>
        <w:spacing w:after="200"/>
        <w:ind/>
        <w:rPr/>
      </w:pPr>
      <w:r>
        <w:t xml:space="preserve">Organ atrophy</w:t>
      </w:r>
      <w:r/>
    </w:p>
    <w:p>
      <w:pPr>
        <w:pStyle w:val="1128"/>
        <w:pBdr/>
        <w:spacing/>
        <w:ind w:left="1080"/>
        <w:rPr/>
      </w:pPr>
      <w:r/>
      <w:r/>
    </w:p>
    <w:p>
      <w:pPr>
        <w:pStyle w:val="1128"/>
        <w:numPr>
          <w:ilvl w:val="0"/>
          <w:numId w:val="14"/>
        </w:numPr>
        <w:pBdr/>
        <w:spacing w:after="200"/>
        <w:ind/>
        <w:rPr/>
      </w:pPr>
      <w:r>
        <w:t xml:space="preserve">Describe ARS, include the major stages.</w:t>
      </w:r>
      <w:r/>
    </w:p>
    <w:p>
      <w:pPr>
        <w:pStyle w:val="1128"/>
        <w:numPr>
          <w:ilvl w:val="0"/>
          <w:numId w:val="37"/>
        </w:numPr>
        <w:pBdr/>
        <w:spacing w:after="200"/>
        <w:ind/>
        <w:rPr/>
      </w:pPr>
      <w:r>
        <w:t xml:space="preserve">Acute radiation syndrome or sickness results in humans after a large, whole body dose of ionizing radiation.</w:t>
      </w:r>
      <w:r/>
    </w:p>
    <w:p>
      <w:pPr>
        <w:pStyle w:val="1128"/>
        <w:numPr>
          <w:ilvl w:val="0"/>
          <w:numId w:val="37"/>
        </w:numPr>
        <w:pBdr/>
        <w:spacing w:after="200"/>
        <w:ind/>
        <w:rPr/>
      </w:pPr>
      <w:r>
        <w:t xml:space="preserve">Four major response stages:</w:t>
      </w:r>
      <w:r/>
    </w:p>
    <w:p>
      <w:pPr>
        <w:pStyle w:val="1128"/>
        <w:numPr>
          <w:ilvl w:val="0"/>
          <w:numId w:val="37"/>
        </w:numPr>
        <w:pBdr/>
        <w:spacing w:after="200"/>
        <w:ind/>
        <w:rPr/>
      </w:pPr>
      <w:r>
        <w:t xml:space="preserve">Prodromal or initial stage</w:t>
      </w:r>
      <w:r/>
    </w:p>
    <w:p>
      <w:pPr>
        <w:pStyle w:val="1128"/>
        <w:numPr>
          <w:ilvl w:val="1"/>
          <w:numId w:val="37"/>
        </w:numPr>
        <w:pBdr/>
        <w:spacing w:after="200"/>
        <w:ind/>
        <w:rPr/>
      </w:pPr>
      <w:r>
        <w:t xml:space="preserve">Occurs within hours of a whol</w:t>
      </w:r>
      <w:r>
        <w:t xml:space="preserve">e body absorbed dose of 1 </w:t>
      </w:r>
      <w:r>
        <w:t xml:space="preserve">Gy</w:t>
      </w:r>
      <w:r>
        <w:t xml:space="preserve"> (100 rad) or more</w:t>
      </w:r>
      <w:r/>
    </w:p>
    <w:p>
      <w:pPr>
        <w:pStyle w:val="1128"/>
        <w:numPr>
          <w:ilvl w:val="1"/>
          <w:numId w:val="37"/>
        </w:numPr>
        <w:pBdr/>
        <w:spacing w:after="200"/>
        <w:ind/>
        <w:rPr/>
      </w:pPr>
      <w:r>
        <w:t xml:space="preserve">Nausea, vomiting, diarrhea, fatigue, leukopenia </w:t>
      </w:r>
      <w:r/>
    </w:p>
    <w:p>
      <w:pPr>
        <w:pStyle w:val="1128"/>
        <w:numPr>
          <w:ilvl w:val="1"/>
          <w:numId w:val="37"/>
        </w:numPr>
        <w:pBdr/>
        <w:spacing w:after="200"/>
        <w:ind/>
        <w:rPr/>
      </w:pPr>
      <w:r>
        <w:t xml:space="preserve">Severity dependent on dose</w:t>
      </w:r>
      <w:r/>
    </w:p>
    <w:p>
      <w:pPr>
        <w:pStyle w:val="1128"/>
        <w:numPr>
          <w:ilvl w:val="1"/>
          <w:numId w:val="37"/>
        </w:numPr>
        <w:pBdr/>
        <w:spacing w:after="200"/>
        <w:ind/>
        <w:rPr/>
      </w:pPr>
      <w:r>
        <w:t xml:space="preserve">May last from a few hours to a few days</w:t>
      </w:r>
      <w:r/>
    </w:p>
    <w:p>
      <w:pPr>
        <w:pStyle w:val="1128"/>
        <w:numPr>
          <w:ilvl w:val="0"/>
          <w:numId w:val="37"/>
        </w:numPr>
        <w:pBdr/>
        <w:spacing w:after="200"/>
        <w:ind/>
        <w:rPr/>
      </w:pPr>
      <w:r>
        <w:t xml:space="preserve">Latent period</w:t>
      </w:r>
      <w:r/>
    </w:p>
    <w:p>
      <w:pPr>
        <w:pStyle w:val="1128"/>
        <w:numPr>
          <w:ilvl w:val="1"/>
          <w:numId w:val="37"/>
        </w:numPr>
        <w:pBdr/>
        <w:spacing w:after="200"/>
        <w:ind/>
        <w:rPr/>
      </w:pPr>
      <w:r>
        <w:t xml:space="preserve">About 1 week</w:t>
      </w:r>
      <w:r/>
    </w:p>
    <w:p>
      <w:pPr>
        <w:pStyle w:val="1128"/>
        <w:numPr>
          <w:ilvl w:val="1"/>
          <w:numId w:val="37"/>
        </w:numPr>
        <w:pBdr/>
        <w:spacing w:after="200"/>
        <w:ind/>
        <w:rPr/>
      </w:pPr>
      <w:r>
        <w:t xml:space="preserve">No visible symptoms occur</w:t>
      </w:r>
      <w:r/>
    </w:p>
    <w:p>
      <w:pPr>
        <w:pStyle w:val="1128"/>
        <w:numPr>
          <w:ilvl w:val="1"/>
          <w:numId w:val="37"/>
        </w:numPr>
        <w:pBdr/>
        <w:spacing w:after="200"/>
        <w:ind/>
        <w:rPr/>
      </w:pPr>
      <w:r>
        <w:t xml:space="preserve">Either recovery or lethal effects begin</w:t>
      </w:r>
      <w:r/>
    </w:p>
    <w:p>
      <w:pPr>
        <w:pStyle w:val="1128"/>
        <w:numPr>
          <w:ilvl w:val="0"/>
          <w:numId w:val="37"/>
        </w:numPr>
        <w:pBdr/>
        <w:spacing w:after="200"/>
        <w:ind/>
        <w:rPr/>
      </w:pPr>
      <w:r>
        <w:t xml:space="preserve">Manifest illness</w:t>
      </w:r>
      <w:r/>
    </w:p>
    <w:p>
      <w:pPr>
        <w:pStyle w:val="1128"/>
        <w:numPr>
          <w:ilvl w:val="1"/>
          <w:numId w:val="37"/>
        </w:numPr>
        <w:pBdr/>
        <w:spacing w:after="200"/>
        <w:ind/>
        <w:rPr/>
      </w:pPr>
      <w:r>
        <w:t xml:space="preserve">Symptoms that affect the hematopoietic, gastrointestinal, and cerebrovascular systems becomes visible</w:t>
      </w:r>
      <w:r/>
    </w:p>
    <w:p>
      <w:pPr>
        <w:pStyle w:val="1128"/>
        <w:numPr>
          <w:ilvl w:val="1"/>
          <w:numId w:val="37"/>
        </w:numPr>
        <w:pBdr/>
        <w:spacing w:after="200"/>
        <w:ind/>
        <w:rPr/>
      </w:pPr>
      <w:r>
        <w:t xml:space="preserve">Symptoms – apathy, confusion, decrease in number of red and white blood cells and platelets, fluid loss, dehydration, epilation, exhaustion, vomiting, severe diarrhea, fever, headaches, infection, hemorrhage, cardiovascular collapse</w:t>
      </w:r>
      <w:r/>
    </w:p>
    <w:p>
      <w:pPr>
        <w:pStyle w:val="1128"/>
        <w:numPr>
          <w:ilvl w:val="1"/>
          <w:numId w:val="37"/>
        </w:numPr>
        <w:pBdr/>
        <w:spacing w:after="200"/>
        <w:ind/>
        <w:rPr/>
      </w:pPr>
      <w:r>
        <w:t xml:space="preserve">In very high doses, dea</w:t>
      </w:r>
      <w:r>
        <w:t xml:space="preserve">th can occur</w:t>
      </w:r>
      <w:r/>
    </w:p>
    <w:p>
      <w:pPr>
        <w:pStyle w:val="1128"/>
        <w:numPr>
          <w:ilvl w:val="0"/>
          <w:numId w:val="37"/>
        </w:numPr>
        <w:pBdr/>
        <w:spacing w:after="200"/>
        <w:ind/>
        <w:rPr/>
      </w:pPr>
      <w:r>
        <w:t xml:space="preserve">Recovery or death</w:t>
      </w:r>
      <w:r/>
    </w:p>
    <w:p>
      <w:pPr>
        <w:pStyle w:val="1128"/>
        <w:numPr>
          <w:ilvl w:val="1"/>
          <w:numId w:val="37"/>
        </w:numPr>
        <w:pBdr/>
        <w:spacing w:after="200"/>
        <w:ind/>
        <w:rPr/>
      </w:pPr>
      <w:r>
        <w:t xml:space="preserve">Recovery may occur, may show signs of radiation damage in late effects</w:t>
      </w:r>
      <w:r/>
    </w:p>
    <w:p>
      <w:pPr>
        <w:pStyle w:val="1128"/>
        <w:numPr>
          <w:ilvl w:val="1"/>
          <w:numId w:val="37"/>
        </w:numPr>
        <w:pBdr/>
        <w:spacing w:after="200"/>
        <w:ind/>
        <w:rPr/>
      </w:pPr>
      <w:r>
        <w:t xml:space="preserve">May occur within 3 or so months</w:t>
      </w:r>
      <w:r/>
    </w:p>
    <w:p>
      <w:pPr>
        <w:pStyle w:val="1128"/>
        <w:numPr>
          <w:ilvl w:val="1"/>
          <w:numId w:val="37"/>
        </w:numPr>
        <w:pBdr/>
        <w:spacing w:after="200"/>
        <w:ind/>
        <w:rPr/>
      </w:pPr>
      <w:r>
        <w:t xml:space="preserve">2 – 3 </w:t>
      </w:r>
      <w:r>
        <w:t xml:space="preserve">Gy</w:t>
      </w:r>
      <w:r>
        <w:t xml:space="preserve"> likely to pass through first three stages with less severe symptoms</w:t>
      </w:r>
      <w:r/>
    </w:p>
    <w:p>
      <w:pPr>
        <w:pStyle w:val="1128"/>
        <w:pBdr/>
        <w:spacing/>
        <w:ind w:left="1800"/>
        <w:rPr/>
      </w:pPr>
      <w:r/>
      <w:r/>
    </w:p>
    <w:p>
      <w:pPr>
        <w:pStyle w:val="1128"/>
        <w:numPr>
          <w:ilvl w:val="0"/>
          <w:numId w:val="14"/>
        </w:numPr>
        <w:pBdr/>
        <w:spacing w:after="200"/>
        <w:ind/>
        <w:rPr/>
      </w:pPr>
      <w:r>
        <w:t xml:space="preserve">Describe the three forms of ARS</w:t>
      </w:r>
      <w:r>
        <w:tab/>
      </w:r>
      <w:r/>
    </w:p>
    <w:p>
      <w:pPr>
        <w:pStyle w:val="1128"/>
        <w:numPr>
          <w:ilvl w:val="0"/>
          <w:numId w:val="38"/>
        </w:numPr>
        <w:pBdr/>
        <w:spacing w:after="200"/>
        <w:ind/>
        <w:rPr/>
      </w:pPr>
      <w:r>
        <w:t xml:space="preserve">Hematopoiet</w:t>
      </w:r>
      <w:r>
        <w:t xml:space="preserve">ic Syndrome </w:t>
      </w:r>
      <w:r/>
    </w:p>
    <w:p>
      <w:pPr>
        <w:pStyle w:val="1128"/>
        <w:numPr>
          <w:ilvl w:val="1"/>
          <w:numId w:val="38"/>
        </w:numPr>
        <w:pBdr/>
        <w:spacing w:after="200"/>
        <w:ind/>
        <w:rPr/>
      </w:pPr>
      <w:r>
        <w:t xml:space="preserve">1 – 10 </w:t>
      </w:r>
      <w:r>
        <w:t xml:space="preserve">Gy</w:t>
      </w:r>
      <w:r/>
    </w:p>
    <w:p>
      <w:pPr>
        <w:pStyle w:val="1128"/>
        <w:numPr>
          <w:ilvl w:val="1"/>
          <w:numId w:val="38"/>
        </w:numPr>
        <w:pBdr/>
        <w:spacing w:after="200"/>
        <w:ind/>
        <w:rPr/>
      </w:pPr>
      <w:r>
        <w:t xml:space="preserve">Affects bone marrow </w:t>
      </w:r>
      <w:r/>
    </w:p>
    <w:p>
      <w:pPr>
        <w:pStyle w:val="1128"/>
        <w:numPr>
          <w:ilvl w:val="1"/>
          <w:numId w:val="38"/>
        </w:numPr>
        <w:pBdr/>
        <w:spacing w:after="200"/>
        <w:ind/>
        <w:rPr/>
      </w:pPr>
      <w:r>
        <w:t xml:space="preserve">Body becomes susceptible to infection and prone to hemorrhage</w:t>
      </w:r>
      <w:r/>
    </w:p>
    <w:p>
      <w:pPr>
        <w:pStyle w:val="1128"/>
        <w:numPr>
          <w:ilvl w:val="1"/>
          <w:numId w:val="38"/>
        </w:numPr>
        <w:pBdr/>
        <w:spacing w:after="200"/>
        <w:ind/>
        <w:rPr/>
      </w:pPr>
      <w:r>
        <w:t xml:space="preserve">Death can occur 6 – 8 weeks from exposure exceeding 2 </w:t>
      </w:r>
      <w:r>
        <w:t xml:space="preserve">Gy</w:t>
      </w:r>
      <w:r>
        <w:t xml:space="preserve">, sooner if higher dose</w:t>
      </w:r>
      <w:r/>
    </w:p>
    <w:p>
      <w:pPr>
        <w:pStyle w:val="1128"/>
        <w:numPr>
          <w:ilvl w:val="0"/>
          <w:numId w:val="38"/>
        </w:numPr>
        <w:pBdr/>
        <w:spacing w:after="200"/>
        <w:ind/>
        <w:rPr/>
      </w:pPr>
      <w:r>
        <w:t xml:space="preserve">Gastrointestinal Syndrome</w:t>
      </w:r>
      <w:r/>
    </w:p>
    <w:p>
      <w:pPr>
        <w:pStyle w:val="1128"/>
        <w:numPr>
          <w:ilvl w:val="1"/>
          <w:numId w:val="38"/>
        </w:numPr>
        <w:pBdr/>
        <w:spacing w:after="200"/>
        <w:ind/>
        <w:rPr/>
      </w:pPr>
      <w:r>
        <w:t xml:space="preserve">Approx</w:t>
      </w:r>
      <w:r>
        <w:t xml:space="preserve"> 6 – 10 </w:t>
      </w:r>
      <w:r>
        <w:t xml:space="preserve">Gy</w:t>
      </w:r>
      <w:r/>
    </w:p>
    <w:p>
      <w:pPr>
        <w:pStyle w:val="1128"/>
        <w:numPr>
          <w:ilvl w:val="1"/>
          <w:numId w:val="38"/>
        </w:numPr>
        <w:pBdr/>
        <w:spacing w:after="200"/>
        <w:ind/>
        <w:rPr/>
      </w:pPr>
      <w:r>
        <w:t xml:space="preserve">May die 3 – 10 days from ex</w:t>
      </w:r>
      <w:r>
        <w:t xml:space="preserve">posure </w:t>
      </w:r>
      <w:r/>
    </w:p>
    <w:p>
      <w:pPr>
        <w:pStyle w:val="1128"/>
        <w:numPr>
          <w:ilvl w:val="1"/>
          <w:numId w:val="38"/>
        </w:numPr>
        <w:pBdr/>
        <w:spacing w:after="200"/>
        <w:ind/>
        <w:rPr/>
      </w:pPr>
      <w:r>
        <w:t xml:space="preserve">Severe N-V-D for 24 hours</w:t>
      </w:r>
      <w:r/>
    </w:p>
    <w:p>
      <w:pPr>
        <w:pStyle w:val="1128"/>
        <w:numPr>
          <w:ilvl w:val="1"/>
          <w:numId w:val="38"/>
        </w:numPr>
        <w:pBdr/>
        <w:spacing w:after="200"/>
        <w:ind/>
        <w:rPr/>
      </w:pPr>
      <w:r>
        <w:t xml:space="preserve">Latent can last up to 5 days</w:t>
      </w:r>
      <w:r/>
    </w:p>
    <w:p>
      <w:pPr>
        <w:pStyle w:val="1128"/>
        <w:numPr>
          <w:ilvl w:val="1"/>
          <w:numId w:val="38"/>
        </w:numPr>
        <w:pBdr/>
        <w:spacing w:after="200"/>
        <w:ind/>
        <w:rPr/>
      </w:pPr>
      <w:r>
        <w:t xml:space="preserve">Severe N-V-D returns as well as fatigue, loss of appetite, lethargy, anemia, leukopenia, hemorrhage, infection</w:t>
      </w:r>
      <w:r/>
    </w:p>
    <w:p>
      <w:pPr>
        <w:pStyle w:val="1128"/>
        <w:numPr>
          <w:ilvl w:val="1"/>
          <w:numId w:val="38"/>
        </w:numPr>
        <w:pBdr/>
        <w:spacing w:after="200"/>
        <w:ind/>
        <w:rPr/>
      </w:pPr>
      <w:r>
        <w:t xml:space="preserve">Death results from damage to epithelial cells lining the GI tract</w:t>
      </w:r>
      <w:r/>
    </w:p>
    <w:p>
      <w:pPr>
        <w:pStyle w:val="1128"/>
        <w:numPr>
          <w:ilvl w:val="0"/>
          <w:numId w:val="38"/>
        </w:numPr>
        <w:pBdr/>
        <w:spacing w:after="200"/>
        <w:ind/>
        <w:rPr/>
      </w:pPr>
      <w:r>
        <w:t xml:space="preserve">Cerebrovascular Syndrome</w:t>
      </w:r>
      <w:r/>
    </w:p>
    <w:p>
      <w:pPr>
        <w:pStyle w:val="1128"/>
        <w:numPr>
          <w:ilvl w:val="1"/>
          <w:numId w:val="38"/>
        </w:numPr>
        <w:pBdr/>
        <w:spacing w:after="200"/>
        <w:ind/>
        <w:rPr/>
      </w:pPr>
      <w:r>
        <w:t xml:space="preserve">CNS and Cardiovascular system receive 50 </w:t>
      </w:r>
      <w:r>
        <w:t xml:space="preserve">Gy</w:t>
      </w:r>
      <w:r>
        <w:t xml:space="preserve"> or more</w:t>
      </w:r>
      <w:r/>
    </w:p>
    <w:p>
      <w:pPr>
        <w:pStyle w:val="1128"/>
        <w:numPr>
          <w:ilvl w:val="1"/>
          <w:numId w:val="38"/>
        </w:numPr>
        <w:pBdr/>
        <w:spacing w:after="200"/>
        <w:ind/>
        <w:rPr/>
      </w:pPr>
      <w:r>
        <w:t xml:space="preserve">Death can result within a few hours or 2 – 3 days</w:t>
      </w:r>
      <w:r/>
    </w:p>
    <w:p>
      <w:pPr>
        <w:pStyle w:val="1128"/>
        <w:numPr>
          <w:ilvl w:val="1"/>
          <w:numId w:val="38"/>
        </w:numPr>
        <w:pBdr/>
        <w:spacing w:after="200"/>
        <w:ind/>
        <w:rPr/>
      </w:pPr>
      <w:r>
        <w:t xml:space="preserve">Excessive nervousness, confusion, severe N-V-D, loss of vision, burning sensation on the skin, loss of consciousness</w:t>
      </w:r>
      <w:r/>
    </w:p>
    <w:p>
      <w:pPr>
        <w:pStyle w:val="1128"/>
        <w:numPr>
          <w:ilvl w:val="1"/>
          <w:numId w:val="38"/>
        </w:numPr>
        <w:pBdr/>
        <w:spacing w:after="200"/>
        <w:ind/>
        <w:rPr/>
      </w:pPr>
      <w:r>
        <w:t xml:space="preserve">Latent can l</w:t>
      </w:r>
      <w:r>
        <w:t xml:space="preserve">ast up to 12 hours</w:t>
      </w:r>
      <w:r/>
    </w:p>
    <w:p>
      <w:pPr>
        <w:pStyle w:val="1128"/>
        <w:numPr>
          <w:ilvl w:val="1"/>
          <w:numId w:val="38"/>
        </w:numPr>
        <w:pBdr/>
        <w:spacing w:after="200"/>
        <w:ind/>
        <w:rPr/>
      </w:pPr>
      <w:r>
        <w:t xml:space="preserve">Symptoms reappear with increased severity plus disorientation, shock, agitation, </w:t>
      </w:r>
      <w:r>
        <w:t xml:space="preserve">ataxia, …coma</w:t>
      </w:r>
      <w:r>
        <w:t xml:space="preserve">.</w:t>
      </w:r>
      <w:r/>
    </w:p>
    <w:p>
      <w:pPr>
        <w:pStyle w:val="1128"/>
        <w:pBdr/>
        <w:spacing/>
        <w:ind w:left="1800"/>
        <w:rPr/>
      </w:pPr>
      <w:r/>
      <w:r/>
    </w:p>
    <w:p>
      <w:pPr>
        <w:pStyle w:val="1128"/>
        <w:numPr>
          <w:ilvl w:val="0"/>
          <w:numId w:val="14"/>
        </w:numPr>
        <w:pBdr/>
        <w:spacing w:after="200"/>
        <w:ind/>
        <w:rPr/>
      </w:pPr>
      <w:r>
        <w:t xml:space="preserve">Define Lethal Dose</w:t>
      </w:r>
      <w:r>
        <w:tab/>
      </w:r>
      <w:r/>
    </w:p>
    <w:p>
      <w:pPr>
        <w:pStyle w:val="1128"/>
        <w:numPr>
          <w:ilvl w:val="0"/>
          <w:numId w:val="39"/>
        </w:numPr>
        <w:pBdr/>
        <w:spacing w:after="200"/>
        <w:ind/>
        <w:rPr/>
      </w:pPr>
      <w:r>
        <w:t xml:space="preserve">LD 50/30 means a whole body dose of radiation that can be lethal to 50% of the population in 30 days</w:t>
      </w:r>
      <w:r/>
    </w:p>
    <w:p>
      <w:pPr>
        <w:pStyle w:val="1128"/>
        <w:numPr>
          <w:ilvl w:val="0"/>
          <w:numId w:val="39"/>
        </w:numPr>
        <w:pBdr/>
        <w:spacing w:after="200"/>
        <w:ind/>
        <w:rPr/>
      </w:pPr>
      <w:r>
        <w:t xml:space="preserve">Estimated to be </w:t>
      </w:r>
      <w:r>
        <w:rPr>
          <w:bCs/>
        </w:rPr>
        <w:t xml:space="preserve">3-4</w:t>
      </w:r>
      <w:r>
        <w:rPr>
          <w:bCs/>
        </w:rPr>
        <w:t xml:space="preserve"> </w:t>
      </w:r>
      <w:r>
        <w:t xml:space="preserve">Gy</w:t>
      </w:r>
      <w:r>
        <w:t xml:space="preserve"> without medical support</w:t>
      </w:r>
      <w:r/>
    </w:p>
    <w:p>
      <w:pPr>
        <w:pStyle w:val="1128"/>
        <w:pBdr/>
        <w:spacing/>
        <w:ind w:left="1800"/>
        <w:rPr/>
      </w:pPr>
      <w:r/>
      <w:r/>
    </w:p>
    <w:p>
      <w:pPr>
        <w:pStyle w:val="1128"/>
        <w:numPr>
          <w:ilvl w:val="0"/>
          <w:numId w:val="14"/>
        </w:numPr>
        <w:pBdr/>
        <w:spacing w:after="200"/>
        <w:ind/>
        <w:rPr/>
      </w:pPr>
      <w:r>
        <w:t xml:space="preserve">What is the purpose of risk estimates?</w:t>
      </w:r>
      <w:r>
        <w:tab/>
      </w:r>
      <w:r/>
    </w:p>
    <w:p>
      <w:pPr>
        <w:pStyle w:val="1128"/>
        <w:numPr>
          <w:ilvl w:val="0"/>
          <w:numId w:val="40"/>
        </w:numPr>
        <w:pBdr/>
        <w:spacing w:after="200"/>
        <w:ind/>
        <w:rPr/>
      </w:pPr>
      <w:r>
        <w:t xml:space="preserve">It is nearly impossible to relate a late effect to a specific exposure, making it is hard to develop precise dose-response relationships</w:t>
      </w:r>
      <w:r/>
    </w:p>
    <w:p>
      <w:pPr>
        <w:pStyle w:val="1128"/>
        <w:numPr>
          <w:ilvl w:val="0"/>
          <w:numId w:val="40"/>
        </w:numPr>
        <w:pBdr/>
        <w:spacing w:after="200"/>
        <w:ind/>
        <w:rPr/>
      </w:pPr>
      <w:r>
        <w:t xml:space="preserve">We use information from early high dose exposure t</w:t>
      </w:r>
      <w:r>
        <w:t xml:space="preserve">o develop risk estimates to help us understand the relationship between exposure and effects</w:t>
      </w:r>
      <w:r/>
    </w:p>
    <w:p>
      <w:pPr>
        <w:pStyle w:val="1128"/>
        <w:pBdr/>
        <w:spacing/>
        <w:ind w:left="1080"/>
        <w:rPr/>
      </w:pPr>
      <w:r/>
      <w:r/>
    </w:p>
    <w:p>
      <w:pPr>
        <w:pStyle w:val="1128"/>
        <w:numPr>
          <w:ilvl w:val="0"/>
          <w:numId w:val="14"/>
        </w:numPr>
        <w:pBdr/>
        <w:spacing w:after="200"/>
        <w:ind/>
        <w:rPr/>
      </w:pPr>
      <w:r>
        <w:t xml:space="preserve">List and describe the three types of risk estimates.</w:t>
      </w:r>
      <w:r/>
    </w:p>
    <w:p>
      <w:pPr>
        <w:pStyle w:val="1128"/>
        <w:numPr>
          <w:ilvl w:val="0"/>
          <w:numId w:val="41"/>
        </w:numPr>
        <w:pBdr/>
        <w:spacing w:after="200"/>
        <w:ind/>
        <w:rPr/>
      </w:pPr>
      <w:r>
        <w:t xml:space="preserve">Relative</w:t>
      </w:r>
      <w:r/>
    </w:p>
    <w:p>
      <w:pPr>
        <w:pStyle w:val="1128"/>
        <w:numPr>
          <w:ilvl w:val="1"/>
          <w:numId w:val="41"/>
        </w:numPr>
        <w:pBdr/>
        <w:spacing w:after="200"/>
        <w:ind/>
        <w:rPr/>
      </w:pPr>
      <w:r>
        <w:t xml:space="preserve">Compares the number of people in an exposed population demonstrating a specific late effect with the</w:t>
      </w:r>
      <w:r>
        <w:t xml:space="preserve"> number of people in an unexposed group with the same effect.</w:t>
      </w:r>
      <w:r/>
    </w:p>
    <w:p>
      <w:pPr>
        <w:pStyle w:val="1128"/>
        <w:numPr>
          <w:ilvl w:val="1"/>
          <w:numId w:val="41"/>
        </w:numPr>
        <w:pBdr/>
        <w:spacing w:after="200"/>
        <w:ind/>
        <w:rPr>
          <w:b/>
        </w:rPr>
      </w:pPr>
      <w:r>
        <w:rPr>
          <w:b/>
        </w:rPr>
        <w:t xml:space="preserve">Relative risk = Observed cases/expected cases</w:t>
      </w:r>
      <w:r>
        <w:rPr>
          <w:b/>
        </w:rPr>
      </w:r>
    </w:p>
    <w:p>
      <w:pPr>
        <w:pStyle w:val="1128"/>
        <w:numPr>
          <w:ilvl w:val="0"/>
          <w:numId w:val="41"/>
        </w:numPr>
        <w:pBdr/>
        <w:spacing w:after="200"/>
        <w:ind/>
        <w:rPr/>
      </w:pPr>
      <w:r>
        <w:t xml:space="preserve">Excess</w:t>
      </w:r>
      <w:r/>
    </w:p>
    <w:p>
      <w:pPr>
        <w:pStyle w:val="1128"/>
        <w:numPr>
          <w:ilvl w:val="1"/>
          <w:numId w:val="41"/>
        </w:numPr>
        <w:pBdr/>
        <w:spacing w:after="200"/>
        <w:ind/>
        <w:rPr/>
      </w:pPr>
      <w:r>
        <w:t xml:space="preserve">The difference between the observed cases and the expected number of cases</w:t>
      </w:r>
      <w:r/>
    </w:p>
    <w:p>
      <w:pPr>
        <w:pStyle w:val="1128"/>
        <w:numPr>
          <w:ilvl w:val="1"/>
          <w:numId w:val="41"/>
        </w:numPr>
        <w:pBdr/>
        <w:spacing w:after="200"/>
        <w:ind/>
        <w:rPr/>
      </w:pPr>
      <w:r>
        <w:t xml:space="preserve">Excess cases are assumed to be radiation induced</w:t>
      </w:r>
      <w:r/>
    </w:p>
    <w:p>
      <w:pPr>
        <w:pStyle w:val="1128"/>
        <w:numPr>
          <w:ilvl w:val="1"/>
          <w:numId w:val="41"/>
        </w:numPr>
        <w:pBdr/>
        <w:spacing w:after="200"/>
        <w:ind/>
        <w:rPr>
          <w:b/>
        </w:rPr>
      </w:pPr>
      <w:r>
        <w:rPr>
          <w:b/>
        </w:rPr>
        <w:t xml:space="preserve">Excess Risk = Observed cases – Expected cases</w:t>
      </w:r>
      <w:r>
        <w:rPr>
          <w:b/>
        </w:rPr>
      </w:r>
    </w:p>
    <w:p>
      <w:pPr>
        <w:pStyle w:val="1128"/>
        <w:pBdr/>
        <w:spacing/>
        <w:ind w:left="1800"/>
        <w:rPr>
          <w:b/>
        </w:rPr>
      </w:pPr>
      <w:r>
        <w:rPr>
          <w:b/>
        </w:rPr>
      </w:r>
      <w:r>
        <w:rPr>
          <w:b/>
        </w:rPr>
      </w:r>
    </w:p>
    <w:p>
      <w:pPr>
        <w:pStyle w:val="1128"/>
        <w:numPr>
          <w:ilvl w:val="0"/>
          <w:numId w:val="41"/>
        </w:numPr>
        <w:pBdr/>
        <w:spacing w:after="200"/>
        <w:ind/>
        <w:rPr/>
      </w:pPr>
      <w:r>
        <w:t xml:space="preserve">Absolute</w:t>
      </w:r>
      <w:r/>
    </w:p>
    <w:p>
      <w:pPr>
        <w:pStyle w:val="1128"/>
        <w:numPr>
          <w:ilvl w:val="1"/>
          <w:numId w:val="41"/>
        </w:numPr>
        <w:pBdr/>
        <w:spacing w:after="200"/>
        <w:ind/>
        <w:rPr/>
      </w:pPr>
      <w:r>
        <w:t xml:space="preserve">When at least two different dose levels are known.</w:t>
      </w:r>
      <w:r/>
    </w:p>
    <w:p>
      <w:pPr>
        <w:pStyle w:val="1128"/>
        <w:numPr>
          <w:ilvl w:val="1"/>
          <w:numId w:val="41"/>
        </w:numPr>
        <w:pBdr/>
        <w:spacing w:after="200"/>
        <w:ind/>
        <w:rPr/>
      </w:pPr>
      <w:r>
        <w:t xml:space="preserve">Consists of units of cases/population/dose</w:t>
      </w:r>
      <w:r/>
    </w:p>
    <w:p>
      <w:pPr>
        <w:pStyle w:val="1128"/>
        <w:pBdr/>
        <w:spacing/>
        <w:ind w:left="1800"/>
        <w:rPr/>
      </w:pPr>
      <w:r/>
      <w:r/>
    </w:p>
    <w:p>
      <w:pPr>
        <w:pStyle w:val="1128"/>
        <w:numPr>
          <w:ilvl w:val="0"/>
          <w:numId w:val="14"/>
        </w:numPr>
        <w:pBdr/>
        <w:spacing w:after="200"/>
        <w:ind/>
        <w:rPr/>
      </w:pPr>
      <w:r>
        <w:t xml:space="preserve">What is radiation </w:t>
      </w:r>
      <w:r>
        <w:t xml:space="preserve">hormesis</w:t>
      </w:r>
      <w:r>
        <w:t xml:space="preserve">?</w:t>
      </w:r>
      <w:r>
        <w:tab/>
      </w:r>
      <w:r/>
    </w:p>
    <w:p>
      <w:pPr>
        <w:pStyle w:val="1128"/>
        <w:numPr>
          <w:ilvl w:val="0"/>
          <w:numId w:val="42"/>
        </w:numPr>
        <w:pBdr/>
        <w:spacing w:after="200"/>
        <w:ind/>
        <w:rPr/>
      </w:pPr>
      <w:r>
        <w:t xml:space="preserve">Theory that very low radiation doses are beneficial</w:t>
      </w:r>
      <w:r/>
    </w:p>
    <w:p>
      <w:pPr>
        <w:pStyle w:val="1128"/>
        <w:numPr>
          <w:ilvl w:val="0"/>
          <w:numId w:val="42"/>
        </w:numPr>
        <w:pBdr/>
        <w:spacing w:after="200"/>
        <w:ind/>
        <w:rPr/>
      </w:pPr>
      <w:r>
        <w:t xml:space="preserve">Suggests that there is s</w:t>
      </w:r>
      <w:r>
        <w:t xml:space="preserve">ome protective benefit – stimulates molecular repair and immunologic response</w:t>
      </w:r>
      <w:r/>
    </w:p>
    <w:p>
      <w:pPr>
        <w:pBdr/>
        <w:spacing w:after="200"/>
        <w:ind/>
        <w:rPr/>
      </w:pPr>
      <w:r/>
      <w:r/>
    </w:p>
    <w:p>
      <w:pPr>
        <w:numPr>
          <w:ilvl w:val="0"/>
          <w:numId w:val="14"/>
        </w:numPr>
        <w:pBdr/>
        <w:spacing w:after="200"/>
        <w:ind/>
        <w:contextualSpacing w:val="true"/>
        <w:rPr/>
      </w:pPr>
      <w:r>
        <w:t xml:space="preserve">What is the difference between quality factor and radiation weighting factor? </w:t>
      </w:r>
      <w:r/>
    </w:p>
    <w:p>
      <w:pPr>
        <w:pStyle w:val="1128"/>
        <w:numPr>
          <w:ilvl w:val="0"/>
          <w:numId w:val="45"/>
        </w:numPr>
        <w:pBdr/>
        <w:spacing w:after="200"/>
        <w:ind/>
        <w:rPr/>
      </w:pPr>
      <w:r>
        <w:t xml:space="preserve">The 2 terms are interchangeable. </w:t>
      </w:r>
      <w:r/>
    </w:p>
    <w:p>
      <w:pPr>
        <w:pStyle w:val="1128"/>
        <w:numPr>
          <w:ilvl w:val="0"/>
          <w:numId w:val="45"/>
        </w:numPr>
        <w:pBdr/>
        <w:spacing w:after="200"/>
        <w:ind/>
        <w:rPr/>
      </w:pPr>
      <w:r>
        <w:t xml:space="preserve">Radiation weighting factor is the current term. </w:t>
      </w:r>
      <w:r/>
    </w:p>
    <w:p>
      <w:pPr>
        <w:pStyle w:val="1128"/>
        <w:numPr>
          <w:ilvl w:val="0"/>
          <w:numId w:val="45"/>
        </w:numPr>
        <w:pBdr/>
        <w:spacing w:after="200"/>
        <w:ind/>
        <w:rPr/>
      </w:pPr>
      <w:r>
        <w:t xml:space="preserve">A factor that accounts for differences in biological effectiveness between different radiation types. </w:t>
      </w:r>
      <w:r/>
    </w:p>
    <w:p>
      <w:pPr>
        <w:pStyle w:val="1128"/>
        <w:numPr>
          <w:ilvl w:val="0"/>
          <w:numId w:val="45"/>
        </w:numPr>
        <w:pBdr/>
        <w:spacing w:after="200"/>
        <w:ind/>
        <w:rPr/>
      </w:pPr>
      <w:r>
        <w:t xml:space="preserve">See table 4.1 and 4.2 (pg68/69) in </w:t>
      </w:r>
      <w:r>
        <w:t xml:space="preserve">Sherer</w:t>
      </w:r>
      <w:r>
        <w:t xml:space="preserve"> et.al </w:t>
      </w:r>
      <w:r/>
    </w:p>
    <w:p>
      <w:pPr>
        <w:pBdr/>
        <w:spacing w:after="200"/>
        <w:ind/>
        <w:rPr/>
      </w:p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h="15840" w:orient="portrait" w:w="12240"/>
      <w:pgMar w:top="1440" w:right="1440" w:bottom="144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10000000000000000"/>
  </w:font>
  <w:font w:name="Courier New">
    <w:panose1 w:val="02070309020205020404"/>
  </w:font>
  <w:font w:name="Symbol">
    <w:panose1 w:val="05010000000000000000"/>
  </w:font>
  <w:font w:name="Tahoma">
    <w:panose1 w:val="020B0604030504040204"/>
  </w:font>
  <w:font w:name="Calibri">
    <w:panose1 w:val="020F050202020403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Borders>
        <w:top w:val="single" w:color="005eb8" w:sz="18" w:space="0"/>
        <w:insideH w:val="single" w:color="808080" w:sz="18" w:space="0"/>
        <w:insideV w:val="single" w:color="005eb8" w:sz="18" w:space="0"/>
      </w:tblBorders>
      <w:tblLook w:val="04A0" w:firstRow="1" w:lastRow="0" w:firstColumn="1" w:lastColumn="0" w:noHBand="0" w:noVBand="1"/>
    </w:tblPr>
    <w:tblGrid>
      <w:gridCol w:w="970"/>
      <w:gridCol w:w="8390"/>
    </w:tblGrid>
    <w:tr>
      <w:trPr/>
      <w:tc>
        <w:tcPr>
          <w:tcBorders/>
          <w:tcW w:w="918" w:type="dxa"/>
          <w:textDirection w:val="lrTb"/>
          <w:noWrap w:val="false"/>
        </w:tcPr>
        <w:p>
          <w:pPr>
            <w:pStyle w:val="1147"/>
            <w:pBdr/>
            <w:spacing/>
            <w:ind/>
            <w:rPr/>
          </w:pPr>
          <w:r>
            <w:fldChar w:fldCharType="begin"/>
          </w:r>
          <w:r>
            <w:instrText xml:space="preserve"> PAGE   \* MERGEFORMAT </w:instrText>
          </w:r>
          <w:r>
            <w:fldChar w:fldCharType="separate"/>
          </w:r>
          <w:r>
            <w:t xml:space="preserve">1</w:t>
          </w:r>
          <w:r>
            <w:fldChar w:fldCharType="end"/>
          </w:r>
          <w:r/>
        </w:p>
      </w:tc>
      <w:tc>
        <w:tcPr>
          <w:tcBorders/>
          <w:tcW w:w="7938" w:type="dxa"/>
          <w:textDirection w:val="lrTb"/>
          <w:noWrap w:val="false"/>
        </w:tcPr>
        <w:p>
          <w:pPr>
            <w:pStyle w:val="1124"/>
            <w:pBdr/>
            <w:spacing w:after="60"/>
            <w:ind/>
            <w:rPr/>
          </w:pPr>
          <w:r>
            <w:t xml:space="preserve">MRT – RADP 215: Radiation Protection</w:t>
          </w:r>
          <w:r/>
        </w:p>
        <w:p>
          <w:pPr>
            <w:pStyle w:val="1152"/>
            <w:pBdr/>
            <w:spacing/>
            <w:ind/>
            <w:rPr/>
          </w:pPr>
          <w:r/>
          <w:r/>
        </w:p>
      </w:tc>
    </w:tr>
  </w:tbl>
  <w:p>
    <w:pPr>
      <w:pStyle w:val="1124"/>
      <w:pBdr/>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Bdr/>
      <w:spacing/>
      <w:ind/>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Bdr/>
      <w:spacing/>
      <w:ind/>
      <w:rPr/>
    </w:pPr>
    <w:r>
      <mc:AlternateContent>
        <mc:Choice Requires="wpg">
          <w:drawing>
            <wp:inline xmlns:wp="http://schemas.openxmlformats.org/drawingml/2006/wordprocessingDrawing" distT="0" distB="0" distL="0" distR="0">
              <wp:extent cx="5943600" cy="25400"/>
              <wp:effectExtent l="0" t="0" r="0" b="0"/>
              <wp:docPr id="4" name="_x0000_i1027"/>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D52B00"/>
                      </a:solidFill>
                      <a:ln>
                        <a:noFill/>
                      </a:ln>
                    </wps:spPr>
                    <wps:bodyPr rot="0">
                      <a:prstTxWarp prst="textNoShape">
                        <a:avLst/>
                      </a:prstTxWarp>
                      <a:noAutofit/>
                    </wps:bodyPr>
                  </wps:wsp>
                </a:graphicData>
              </a:graphic>
            </wp:inline>
          </w:drawing>
        </mc:Choice>
        <mc:Fallback>
          <w:pict>
            <v:shape id="shape 3" o:spid="_x0000_s3" o:spt="1" type="#_x0000_t1" style="width:468.00pt;height:2.00pt;mso-wrap-distance-left:0.00pt;mso-wrap-distance-top:0.00pt;mso-wrap-distance-right:0.00pt;mso-wrap-distance-bottom:0.00pt;visibility:visible;" fillcolor="#D52B00" stroked="f"/>
          </w:pict>
        </mc:Fallback>
      </mc:AlternateContent>
    </w:r>
    <w:r/>
  </w:p>
  <w:p>
    <w:pPr>
      <w:pStyle w:val="1124"/>
      <w:pBdr/>
      <w:spacing/>
      <w:ind/>
      <w:rPr/>
    </w:pPr>
    <w:r>
      <w:fldChar w:fldCharType="begin"/>
    </w:r>
    <w:r>
      <w:instrText xml:space="preserve"> PAGE   \* MERGEFORMAT </w:instrText>
    </w:r>
    <w:r>
      <w:fldChar w:fldCharType="separate"/>
    </w:r>
    <w:r>
      <w:t xml:space="preserve">1</w:t>
    </w:r>
    <w:r>
      <w:fldChar w:fldCharType="end"/>
    </w:r>
    <w:r>
      <w:rPr>
        <w:color w:val="4f81bd"/>
      </w:rPr>
      <w:t xml:space="preserve">     </w:t>
    </w:r>
    <w:r>
      <w:t xml:space="preserve">| School Name: Course Code/Name</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pBdr/>
      <w:spacing w:after="0"/>
      <w:ind/>
      <w:jc w:val="left"/>
      <w:rPr/>
    </w:pPr>
    <w:r>
      <mc:AlternateContent>
        <mc:Choice Requires="wpg">
          <w:drawing>
            <wp:inline xmlns:wp="http://schemas.openxmlformats.org/drawingml/2006/wordprocessingDrawing" distT="0" distB="0" distL="0" distR="0">
              <wp:extent cx="914400" cy="979715"/>
              <wp:effectExtent l="0" t="0" r="0" b="0"/>
              <wp:docPr id="1" name="Picture 6"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pic:cNvPicPr>
                      <pic:nvPr/>
                    </pic:nvPicPr>
                    <pic:blipFill>
                      <a:blip r:embed="rId1"/>
                      <a:stretch/>
                    </pic:blipFill>
                    <pic:spPr bwMode="auto">
                      <a:xfrm>
                        <a:off x="0" y="0"/>
                        <a:ext cx="924493" cy="99052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72.00pt;height:77.14pt;mso-wrap-distance-left:0.00pt;mso-wrap-distance-top:0.00pt;mso-wrap-distance-right:0.00pt;mso-wrap-distance-bottom:0.00pt;z-index:1;" stroked="f">
              <v:imagedata r:id="rId1" o:title=""/>
              <o:lock v:ext="edit" rotation="t"/>
            </v:shape>
          </w:pict>
        </mc:Fallback>
      </mc:AlternateContent>
    </w:r>
    <w:r>
      <w:t xml:space="preserve">         </w:t>
    </w:r>
    <w:bookmarkStart w:id="1" w:name="_GoBack"/>
    <w:r/>
    <w:bookmarkEnd w:id="1"/>
    <w:r>
      <w:t xml:space="preserve">         </w:t>
    </w:r>
    <w:r>
      <w:t xml:space="preserve">Radiation Protection</w:t>
    </w:r>
    <w:r/>
  </w:p>
  <w:p>
    <w:pPr>
      <w:pBdr/>
      <w:spacing/>
      <w:ind/>
      <w:rPr/>
    </w:pPr>
    <w:r>
      <mc:AlternateContent>
        <mc:Choice Requires="wpg">
          <w:drawing>
            <wp:inline xmlns:wp="http://schemas.openxmlformats.org/drawingml/2006/wordprocessingDrawing" distT="0" distB="0" distL="0" distR="0">
              <wp:extent cx="5943600" cy="25400"/>
              <wp:effectExtent l="0" t="0" r="0" b="0"/>
              <wp:docPr id="2" name="_x0000_i1025"/>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005EB8"/>
                      </a:solidFill>
                      <a:ln>
                        <a:noFill/>
                      </a:ln>
                    </wps:spPr>
                    <wps:bodyPr rot="0">
                      <a:prstTxWarp prst="textNoShape">
                        <a:avLst/>
                      </a:prstTxWarp>
                      <a:noAutofit/>
                    </wps:bodyPr>
                  </wps:wsp>
                </a:graphicData>
              </a:graphic>
            </wp:inline>
          </w:drawing>
        </mc:Choice>
        <mc:Fallback>
          <w:pict>
            <v:shape id="shape 1" o:spid="_x0000_s1" o:spt="1" type="#_x0000_t1" style="width:468.00pt;height:2.00pt;mso-wrap-distance-left:0.00pt;mso-wrap-distance-top:0.00pt;mso-wrap-distance-right:0.00pt;mso-wrap-distance-bottom:0.00pt;visibility:visible;" fillcolor="#005EB8" stroked="f"/>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Bdr/>
      <w:spacing/>
      <w:ind/>
      <w:rP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Bdr/>
      <w:spacing/>
      <w:ind/>
      <w:rPr/>
    </w:pPr>
    <w:r>
      <w:t xml:space="preserve">Title of A</w:t>
    </w:r>
    <w:r>
      <w:t xml:space="preserve">ssignment</w:t>
    </w:r>
    <w:r/>
  </w:p>
  <w:p>
    <w:pPr>
      <w:pStyle w:val="946"/>
      <w:pBdr/>
      <w:spacing/>
      <w:ind/>
      <w:rPr/>
    </w:pPr>
    <w:r>
      <mc:AlternateContent>
        <mc:Choice Requires="wpg">
          <w:drawing>
            <wp:inline xmlns:wp="http://schemas.openxmlformats.org/drawingml/2006/wordprocessingDrawing" distT="0" distB="0" distL="0" distR="0">
              <wp:extent cx="5943600" cy="25400"/>
              <wp:effectExtent l="0" t="0" r="0" b="0"/>
              <wp:docPr id="3" name="_x0000_i1026"/>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D52B00"/>
                      </a:solidFill>
                      <a:ln>
                        <a:noFill/>
                      </a:ln>
                    </wps:spPr>
                    <wps:bodyPr rot="0">
                      <a:prstTxWarp prst="textNoShape">
                        <a:avLst/>
                      </a:prstTxWarp>
                      <a:noAutofit/>
                    </wps:bodyPr>
                  </wps:wsp>
                </a:graphicData>
              </a:graphic>
            </wp:inline>
          </w:drawing>
        </mc:Choice>
        <mc:Fallback>
          <w:pict>
            <v:shape id="shape 2" o:spid="_x0000_s2" o:spt="1" type="#_x0000_t1" style="width:468.00pt;height:2.00pt;mso-wrap-distance-left:0.00pt;mso-wrap-distance-top:0.00pt;mso-wrap-distance-right:0.00pt;mso-wrap-distance-bottom:0.00pt;visibility:visible;" fillcolor="#D52B00" stroked="f"/>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2">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3">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
    <w:lvl w:ilvl="0">
      <w:isLgl w:val="false"/>
      <w:lvlJc w:val="left"/>
      <w:lvlText w:val=""/>
      <w:numFmt w:val="bullet"/>
      <w:pPr>
        <w:pBdr/>
        <w:spacing/>
        <w:ind w:hanging="360" w:left="1080"/>
      </w:pPr>
      <w:rPr>
        <w:rFonts w:hint="default" w:ascii="Symbol" w:hAnsi="Symbol"/>
      </w:rPr>
      <w:start w:val="1"/>
      <w:suff w:val="tab"/>
    </w:lvl>
    <w:lvl w:ilvl="1">
      <w:isLgl w:val="false"/>
      <w:lvlJc w:val="left"/>
      <w:lvlText w:val=""/>
      <w:numFmt w:val="bullet"/>
      <w:pPr>
        <w:pBdr/>
        <w:spacing/>
        <w:ind w:hanging="360" w:left="1080"/>
      </w:pPr>
      <w:rPr>
        <w:rFonts w:hint="default" w:ascii="Symbol" w:hAnsi="Symbol"/>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9">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0">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2">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3">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4">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5">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6">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7">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8">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9">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20">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21">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2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3">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sz w:val="20"/>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4">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25">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26">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27">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8">
    <w:lvl w:ilvl="0">
      <w:isLgl w:val="false"/>
      <w:lvlJc w:val="left"/>
      <w:lvlText w:val=""/>
      <w:numFmt w:val="bullet"/>
      <w:pPr>
        <w:pBdr/>
        <w:spacing/>
        <w:ind w:hanging="360" w:left="720"/>
      </w:pPr>
      <w:rPr>
        <w:rFonts w:hint="default" w:ascii="Symbol" w:hAnsi="Symbol"/>
        <w:sz w:val="20"/>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9">
    <w:lvl w:ilvl="0">
      <w:isLgl w:val="false"/>
      <w:lvlJc w:val="left"/>
      <w:lvlText w:val="%1."/>
      <w:numFmt w:val="decimal"/>
      <w:pPr>
        <w:pBdr/>
        <w:spacing/>
        <w:ind w:hanging="360" w:left="3600"/>
      </w:pPr>
      <w:rPr/>
      <w:start w:val="1"/>
      <w:suff w:val="tab"/>
    </w:lvl>
    <w:lvl w:ilvl="1">
      <w:isLgl w:val="false"/>
      <w:lvlJc w:val="left"/>
      <w:lvlText w:val="%2."/>
      <w:numFmt w:val="lowerLetter"/>
      <w:pPr>
        <w:pBdr/>
        <w:spacing/>
        <w:ind w:hanging="360" w:left="4320"/>
      </w:pPr>
      <w:rPr/>
      <w:start w:val="1"/>
      <w:suff w:val="tab"/>
    </w:lvl>
    <w:lvl w:ilvl="2">
      <w:isLgl w:val="false"/>
      <w:lvlJc w:val="right"/>
      <w:lvlText w:val="%3."/>
      <w:numFmt w:val="lowerRoman"/>
      <w:pPr>
        <w:pBdr/>
        <w:spacing/>
        <w:ind w:hanging="180" w:left="5040"/>
      </w:pPr>
      <w:rPr/>
      <w:start w:val="1"/>
      <w:suff w:val="tab"/>
    </w:lvl>
    <w:lvl w:ilvl="3">
      <w:isLgl w:val="false"/>
      <w:lvlJc w:val="left"/>
      <w:lvlText w:val="%4."/>
      <w:numFmt w:val="decimal"/>
      <w:pPr>
        <w:pBdr/>
        <w:spacing/>
        <w:ind w:hanging="360" w:left="5760"/>
      </w:pPr>
      <w:rPr/>
      <w:start w:val="1"/>
      <w:suff w:val="tab"/>
    </w:lvl>
    <w:lvl w:ilvl="4">
      <w:isLgl w:val="false"/>
      <w:lvlJc w:val="left"/>
      <w:lvlText w:val="%5."/>
      <w:numFmt w:val="lowerLetter"/>
      <w:pPr>
        <w:pBdr/>
        <w:spacing/>
        <w:ind w:hanging="360" w:left="6480"/>
      </w:pPr>
      <w:rPr/>
      <w:start w:val="1"/>
      <w:suff w:val="tab"/>
    </w:lvl>
    <w:lvl w:ilvl="5">
      <w:isLgl w:val="false"/>
      <w:lvlJc w:val="right"/>
      <w:lvlText w:val="%6."/>
      <w:numFmt w:val="lowerRoman"/>
      <w:pPr>
        <w:pBdr/>
        <w:spacing/>
        <w:ind w:hanging="180" w:left="7200"/>
      </w:pPr>
      <w:rPr/>
      <w:start w:val="1"/>
      <w:suff w:val="tab"/>
    </w:lvl>
    <w:lvl w:ilvl="6">
      <w:isLgl w:val="false"/>
      <w:lvlJc w:val="left"/>
      <w:lvlText w:val="%7."/>
      <w:numFmt w:val="decimal"/>
      <w:pPr>
        <w:pBdr/>
        <w:spacing/>
        <w:ind w:hanging="360" w:left="7920"/>
      </w:pPr>
      <w:rPr/>
      <w:start w:val="1"/>
      <w:suff w:val="tab"/>
    </w:lvl>
    <w:lvl w:ilvl="7">
      <w:isLgl w:val="false"/>
      <w:lvlJc w:val="left"/>
      <w:lvlText w:val="%8."/>
      <w:numFmt w:val="lowerLetter"/>
      <w:pPr>
        <w:pBdr/>
        <w:spacing/>
        <w:ind w:hanging="360" w:left="8640"/>
      </w:pPr>
      <w:rPr/>
      <w:start w:val="1"/>
      <w:suff w:val="tab"/>
    </w:lvl>
    <w:lvl w:ilvl="8">
      <w:isLgl w:val="false"/>
      <w:lvlJc w:val="right"/>
      <w:lvlText w:val="%9."/>
      <w:numFmt w:val="lowerRoman"/>
      <w:pPr>
        <w:pBdr/>
        <w:spacing/>
        <w:ind w:hanging="180" w:left="9360"/>
      </w:pPr>
      <w:rPr/>
      <w:start w:val="1"/>
      <w:suff w:val="tab"/>
    </w:lvl>
  </w:abstractNum>
  <w:abstractNum w:abstractNumId="30">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81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1">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32">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33">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34">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35">
    <w:lvl w:ilvl="0">
      <w:isLgl w:val="false"/>
      <w:lvlJc w:val="left"/>
      <w:lvlText w:val="%1."/>
      <w:numFmt w:val="decimal"/>
      <w:pPr>
        <w:pBdr/>
        <w:spacing/>
        <w:ind w:hanging="360" w:left="360"/>
      </w:pPr>
      <w:rPr>
        <w:rFonts w:hint="default"/>
      </w:rPr>
      <w:start w:val="1"/>
      <w:suff w:val="tab"/>
    </w:lvl>
    <w:lvl w:ilvl="1">
      <w:isLgl w:val="false"/>
      <w:lvlJc w:val="left"/>
      <w:lvlText w:val=""/>
      <w:numFmt w:val="bullet"/>
      <w:pPr>
        <w:pBdr/>
        <w:spacing/>
        <w:ind w:hanging="360" w:left="1080"/>
      </w:pPr>
      <w:rPr>
        <w:rFonts w:hint="default" w:ascii="Symbol" w:hAnsi="Symbol"/>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6">
    <w:lvl w:ilvl="0">
      <w:isLgl w:val="false"/>
      <w:lvlJc w:val="left"/>
      <w:lvlText w:val=""/>
      <w:numFmt w:val="bullet"/>
      <w:pPr>
        <w:pBdr/>
        <w:spacing/>
        <w:ind w:hanging="360" w:left="360"/>
      </w:pPr>
      <w:rPr>
        <w:rFonts w:hint="default" w:ascii="Symbol" w:hAnsi="Symbol"/>
      </w:rPr>
      <w:start w:val="1"/>
      <w:suff w:val="tab"/>
    </w:lvl>
    <w:lvl w:ilvl="1">
      <w:isLgl w:val="false"/>
      <w:lvlJc w:val="left"/>
      <w:lvlText w:val=""/>
      <w:numFmt w:val="bullet"/>
      <w:pPr>
        <w:pBdr/>
        <w:spacing/>
        <w:ind w:hanging="360" w:left="1080"/>
      </w:pPr>
      <w:rPr>
        <w:rFonts w:hint="default" w:ascii="Symbol" w:hAnsi="Symbol"/>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37">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38">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39">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40">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41">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42">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3">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44">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num w:numId="1">
    <w:abstractNumId w:val="23"/>
  </w:num>
  <w:num w:numId="2">
    <w:abstractNumId w:val="36"/>
  </w:num>
  <w:num w:numId="3">
    <w:abstractNumId w:val="7"/>
  </w:num>
  <w:num w:numId="4">
    <w:abstractNumId w:val="28"/>
  </w:num>
  <w:num w:numId="5">
    <w:abstractNumId w:val="22"/>
  </w:num>
  <w:num w:numId="6">
    <w:abstractNumId w:val="42"/>
  </w:num>
  <w:num w:numId="7">
    <w:abstractNumId w:val="10"/>
  </w:num>
  <w:num w:numId="8">
    <w:abstractNumId w:val="11"/>
  </w:num>
  <w:num w:numId="9">
    <w:abstractNumId w:val="29"/>
  </w:num>
  <w:num w:numId="10">
    <w:abstractNumId w:val="12"/>
  </w:num>
  <w:num w:numId="11">
    <w:abstractNumId w:val="6"/>
  </w:num>
  <w:num w:numId="12">
    <w:abstractNumId w:val="9"/>
  </w:num>
  <w:num w:numId="13">
    <w:abstractNumId w:val="30"/>
  </w:num>
  <w:num w:numId="14">
    <w:abstractNumId w:val="27"/>
  </w:num>
  <w:num w:numId="15">
    <w:abstractNumId w:val="4"/>
  </w:num>
  <w:num w:numId="16">
    <w:abstractNumId w:val="24"/>
  </w:num>
  <w:num w:numId="17">
    <w:abstractNumId w:val="33"/>
  </w:num>
  <w:num w:numId="18">
    <w:abstractNumId w:val="39"/>
  </w:num>
  <w:num w:numId="19">
    <w:abstractNumId w:val="34"/>
  </w:num>
  <w:num w:numId="20">
    <w:abstractNumId w:val="18"/>
  </w:num>
  <w:num w:numId="21">
    <w:abstractNumId w:val="32"/>
  </w:num>
  <w:num w:numId="22">
    <w:abstractNumId w:val="0"/>
  </w:num>
  <w:num w:numId="23">
    <w:abstractNumId w:val="25"/>
  </w:num>
  <w:num w:numId="24">
    <w:abstractNumId w:val="5"/>
  </w:num>
  <w:num w:numId="25">
    <w:abstractNumId w:val="15"/>
  </w:num>
  <w:num w:numId="26">
    <w:abstractNumId w:val="17"/>
  </w:num>
  <w:num w:numId="27">
    <w:abstractNumId w:val="38"/>
  </w:num>
  <w:num w:numId="28">
    <w:abstractNumId w:val="3"/>
  </w:num>
  <w:num w:numId="29">
    <w:abstractNumId w:val="2"/>
  </w:num>
  <w:num w:numId="30">
    <w:abstractNumId w:val="41"/>
  </w:num>
  <w:num w:numId="31">
    <w:abstractNumId w:val="16"/>
  </w:num>
  <w:num w:numId="32">
    <w:abstractNumId w:val="43"/>
  </w:num>
  <w:num w:numId="33">
    <w:abstractNumId w:val="1"/>
  </w:num>
  <w:num w:numId="34">
    <w:abstractNumId w:val="14"/>
  </w:num>
  <w:num w:numId="35">
    <w:abstractNumId w:val="21"/>
  </w:num>
  <w:num w:numId="36">
    <w:abstractNumId w:val="8"/>
  </w:num>
  <w:num w:numId="37">
    <w:abstractNumId w:val="40"/>
  </w:num>
  <w:num w:numId="38">
    <w:abstractNumId w:val="31"/>
  </w:num>
  <w:num w:numId="39">
    <w:abstractNumId w:val="19"/>
  </w:num>
  <w:num w:numId="40">
    <w:abstractNumId w:val="44"/>
  </w:num>
  <w:num w:numId="41">
    <w:abstractNumId w:val="20"/>
  </w:num>
  <w:num w:numId="42">
    <w:abstractNumId w:val="13"/>
  </w:num>
  <w:num w:numId="43">
    <w:abstractNumId w:val="37"/>
  </w:num>
  <w:num w:numId="44">
    <w:abstractNumId w:val="35"/>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Calibri" w:cs="Times New Roman"/>
        <w:lang w:val="en-US" w:eastAsia="en-US"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95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95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95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95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95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95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95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95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95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95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95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95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95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95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95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95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95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95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95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95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95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95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95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95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95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9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9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9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9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 Accent 1"/>
    <w:basedOn w:val="95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95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95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95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95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95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 Accent 1"/>
    <w:basedOn w:val="95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95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95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95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95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95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9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9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9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9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9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9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95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95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95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95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95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95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95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95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95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95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95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95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95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95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95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95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95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95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 Accent 1"/>
    <w:basedOn w:val="95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95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95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95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95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95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 Accent 1"/>
    <w:basedOn w:val="95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95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95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95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95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95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 Accent 1"/>
    <w:basedOn w:val="95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1">
    <w:name w:val="List Table 7 Colorful - Accent 2"/>
    <w:basedOn w:val="95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112">
    <w:name w:val="List Table 7 Colorful - Accent 3"/>
    <w:basedOn w:val="95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9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113">
    <w:name w:val="List Table 7 Colorful - Accent 4"/>
    <w:basedOn w:val="95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114">
    <w:name w:val="List Table 7 Colorful - Accent 5"/>
    <w:basedOn w:val="95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115">
    <w:name w:val="List Table 7 Colorful - Accent 6"/>
    <w:basedOn w:val="95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8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paragraph" w:styleId="945" w:default="1">
    <w:name w:val="Normal"/>
    <w:qFormat/>
    <w:pPr>
      <w:pBdr/>
      <w:spacing w:line="276" w:lineRule="auto"/>
      <w:ind/>
    </w:pPr>
    <w:rPr>
      <w:rFonts w:eastAsia="Times New Roman" w:cs="Arial"/>
      <w:sz w:val="22"/>
      <w:szCs w:val="22"/>
    </w:rPr>
  </w:style>
  <w:style w:type="paragraph" w:styleId="946">
    <w:name w:val="Heading 1"/>
    <w:basedOn w:val="945"/>
    <w:next w:val="947"/>
    <w:link w:val="1120"/>
    <w:uiPriority w:val="9"/>
    <w:qFormat/>
    <w:pPr>
      <w:keepNext w:val="true"/>
      <w:keepLines w:val="true"/>
      <w:pBdr/>
      <w:spacing w:after="120" w:before="360"/>
      <w:ind/>
      <w:jc w:val="center"/>
      <w:outlineLvl w:val="0"/>
    </w:pPr>
    <w:rPr>
      <w:b/>
      <w:bCs/>
      <w:sz w:val="24"/>
    </w:rPr>
  </w:style>
  <w:style w:type="paragraph" w:styleId="947">
    <w:name w:val="Heading 2"/>
    <w:basedOn w:val="945"/>
    <w:next w:val="945"/>
    <w:link w:val="1121"/>
    <w:uiPriority w:val="9"/>
    <w:unhideWhenUsed/>
    <w:qFormat/>
    <w:pPr>
      <w:keepNext w:val="true"/>
      <w:keepLines w:val="true"/>
      <w:pBdr/>
      <w:spacing w:after="60" w:before="240"/>
      <w:ind/>
      <w:outlineLvl w:val="1"/>
    </w:pPr>
    <w:rPr>
      <w:b/>
      <w:bCs/>
      <w:sz w:val="24"/>
      <w:szCs w:val="28"/>
    </w:rPr>
  </w:style>
  <w:style w:type="paragraph" w:styleId="948">
    <w:name w:val="Heading 3"/>
    <w:basedOn w:val="945"/>
    <w:next w:val="945"/>
    <w:link w:val="1131"/>
    <w:uiPriority w:val="9"/>
    <w:unhideWhenUsed/>
    <w:qFormat/>
    <w:pPr>
      <w:keepNext w:val="true"/>
      <w:keepLines w:val="true"/>
      <w:pBdr/>
      <w:spacing w:after="60" w:before="240"/>
      <w:ind/>
      <w:outlineLvl w:val="2"/>
    </w:pPr>
    <w:rPr>
      <w:b/>
      <w:bCs/>
      <w:sz w:val="26"/>
    </w:rPr>
  </w:style>
  <w:style w:type="paragraph" w:styleId="949">
    <w:name w:val="Heading 4"/>
    <w:basedOn w:val="945"/>
    <w:next w:val="945"/>
    <w:link w:val="1083"/>
    <w:uiPriority w:val="9"/>
    <w:unhideWhenUsed/>
    <w:qFormat/>
    <w:pPr>
      <w:keepNext w:val="true"/>
      <w:keepLines w:val="true"/>
      <w:pBdr/>
      <w:spacing w:after="40" w:before="80"/>
      <w:ind/>
      <w:outlineLvl w:val="3"/>
    </w:pPr>
    <w:rPr>
      <w:rFonts w:eastAsia="Arial"/>
      <w:i/>
      <w:iCs/>
      <w:color w:val="365f91" w:themeColor="accent1" w:themeShade="BF"/>
    </w:rPr>
  </w:style>
  <w:style w:type="paragraph" w:styleId="950">
    <w:name w:val="Heading 5"/>
    <w:basedOn w:val="945"/>
    <w:next w:val="945"/>
    <w:link w:val="1084"/>
    <w:uiPriority w:val="9"/>
    <w:unhideWhenUsed/>
    <w:qFormat/>
    <w:pPr>
      <w:keepNext w:val="true"/>
      <w:keepLines w:val="true"/>
      <w:pBdr/>
      <w:spacing w:after="40" w:before="80"/>
      <w:ind/>
      <w:outlineLvl w:val="4"/>
    </w:pPr>
    <w:rPr>
      <w:rFonts w:eastAsia="Arial"/>
      <w:color w:val="365f91" w:themeColor="accent1" w:themeShade="BF"/>
    </w:rPr>
  </w:style>
  <w:style w:type="paragraph" w:styleId="951">
    <w:name w:val="Heading 6"/>
    <w:basedOn w:val="945"/>
    <w:next w:val="945"/>
    <w:link w:val="1085"/>
    <w:uiPriority w:val="9"/>
    <w:unhideWhenUsed/>
    <w:qFormat/>
    <w:pPr>
      <w:keepNext w:val="true"/>
      <w:keepLines w:val="true"/>
      <w:pBdr/>
      <w:spacing w:before="40"/>
      <w:ind/>
      <w:outlineLvl w:val="5"/>
    </w:pPr>
    <w:rPr>
      <w:rFonts w:eastAsia="Arial"/>
      <w:i/>
      <w:iCs/>
      <w:color w:val="595959" w:themeColor="text1" w:themeTint="A6"/>
    </w:rPr>
  </w:style>
  <w:style w:type="paragraph" w:styleId="952">
    <w:name w:val="Heading 7"/>
    <w:basedOn w:val="945"/>
    <w:next w:val="945"/>
    <w:link w:val="1086"/>
    <w:uiPriority w:val="9"/>
    <w:unhideWhenUsed/>
    <w:qFormat/>
    <w:pPr>
      <w:keepNext w:val="true"/>
      <w:keepLines w:val="true"/>
      <w:pBdr/>
      <w:spacing w:before="40"/>
      <w:ind/>
      <w:outlineLvl w:val="6"/>
    </w:pPr>
    <w:rPr>
      <w:rFonts w:eastAsia="Arial"/>
      <w:color w:val="595959" w:themeColor="text1" w:themeTint="A6"/>
    </w:rPr>
  </w:style>
  <w:style w:type="paragraph" w:styleId="953">
    <w:name w:val="Heading 8"/>
    <w:basedOn w:val="945"/>
    <w:next w:val="945"/>
    <w:link w:val="1130"/>
    <w:pPr>
      <w:pBdr/>
      <w:spacing w:after="60" w:before="240" w:line="240" w:lineRule="auto"/>
      <w:ind/>
      <w:outlineLvl w:val="7"/>
    </w:pPr>
    <w:rPr>
      <w:i/>
      <w:iCs/>
      <w:szCs w:val="24"/>
      <w:lang w:val="en-CA"/>
    </w:rPr>
  </w:style>
  <w:style w:type="paragraph" w:styleId="954">
    <w:name w:val="Heading 9"/>
    <w:basedOn w:val="945"/>
    <w:next w:val="945"/>
    <w:link w:val="1132"/>
    <w:uiPriority w:val="9"/>
    <w:unhideWhenUsed/>
    <w:pPr>
      <w:keepNext w:val="true"/>
      <w:keepLines w:val="true"/>
      <w:pBdr/>
      <w:spacing w:before="40"/>
      <w:ind/>
      <w:outlineLvl w:val="8"/>
    </w:pPr>
    <w:rPr>
      <w:rFonts w:asciiTheme="majorHAnsi" w:hAnsiTheme="majorHAnsi" w:eastAsiaTheme="majorEastAsia" w:cstheme="majorBidi"/>
      <w:i/>
      <w:iCs/>
      <w:color w:val="272727" w:themeColor="text1" w:themeTint="D8"/>
      <w:sz w:val="21"/>
      <w:szCs w:val="21"/>
    </w:rPr>
  </w:style>
  <w:style w:type="character" w:styleId="955" w:default="1">
    <w:name w:val="Default Paragraph Font"/>
    <w:uiPriority w:val="1"/>
    <w:semiHidden/>
    <w:unhideWhenUsed/>
    <w:pPr>
      <w:pBdr/>
      <w:spacing/>
      <w:ind/>
    </w:pPr>
  </w:style>
  <w:style w:type="table" w:styleId="95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57" w:default="1">
    <w:name w:val="No List"/>
    <w:uiPriority w:val="99"/>
    <w:semiHidden/>
    <w:unhideWhenUsed/>
    <w:pPr>
      <w:pBdr/>
      <w:spacing/>
      <w:ind/>
    </w:pPr>
  </w:style>
  <w:style w:type="table" w:styleId="958">
    <w:name w:val="Grid Table Light"/>
    <w:basedOn w:val="956"/>
    <w:uiPriority w:val="59"/>
    <w:pPr>
      <w:pBdr/>
      <w:spacing/>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Plain Table 1"/>
    <w:basedOn w:val="956"/>
    <w:uiPriority w:val="59"/>
    <w:pPr>
      <w:pBdr/>
      <w:spacing/>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Plain Table 2"/>
    <w:basedOn w:val="956"/>
    <w:uiPriority w:val="59"/>
    <w:pPr>
      <w:pBdr/>
      <w:spacing/>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Plain Table 3"/>
    <w:basedOn w:val="956"/>
    <w:uiPriority w:val="99"/>
    <w:pPr>
      <w:pBdr/>
      <w:spacing/>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Plain Table 4"/>
    <w:basedOn w:val="956"/>
    <w:uiPriority w:val="99"/>
    <w:pPr>
      <w:pBdr/>
      <w:spacing/>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Plain Table 5"/>
    <w:basedOn w:val="956"/>
    <w:uiPriority w:val="99"/>
    <w:pPr>
      <w:pBdr/>
      <w:spacing/>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Grid Table 1 Light"/>
    <w:basedOn w:val="956"/>
    <w:uiPriority w:val="99"/>
    <w:pPr>
      <w:pBdr/>
      <w:spacing/>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Grid Table 1 Light Accent 1"/>
    <w:basedOn w:val="956"/>
    <w:uiPriority w:val="99"/>
    <w:pPr>
      <w:pBdr/>
      <w:spacing/>
      <w:ind/>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7b4d8"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Grid Table 1 Light Accent 2"/>
    <w:basedOn w:val="956"/>
    <w:uiPriority w:val="99"/>
    <w:pPr>
      <w:pBdr/>
      <w:spacing/>
      <w:ind/>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da989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Grid Table 1 Light Accent 3"/>
    <w:basedOn w:val="956"/>
    <w:uiPriority w:val="99"/>
    <w:pPr>
      <w:pBdr/>
      <w:spacing/>
      <w:ind/>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4d79d"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Grid Table 1 Light Accent 4"/>
    <w:basedOn w:val="956"/>
    <w:uiPriority w:val="99"/>
    <w:pPr>
      <w:pBdr/>
      <w:spacing/>
      <w:ind/>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b4a4c8"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Grid Table 1 Light Accent 5"/>
    <w:basedOn w:val="956"/>
    <w:uiPriority w:val="99"/>
    <w:pPr>
      <w:pBdr/>
      <w:spacing/>
      <w:ind/>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5cedd"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Grid Table 1 Light Accent 6"/>
    <w:basedOn w:val="956"/>
    <w:uiPriority w:val="99"/>
    <w:pPr>
      <w:pBdr/>
      <w:spacing/>
      <w:ind/>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ac192"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Grid Table 2"/>
    <w:basedOn w:val="956"/>
    <w:uiPriority w:val="99"/>
    <w:pPr>
      <w:pBdr/>
      <w:spacing/>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Grid Table 2 Accent 1"/>
    <w:basedOn w:val="956"/>
    <w:uiPriority w:val="99"/>
    <w:pPr>
      <w:pBdr/>
      <w:spacing/>
      <w:ind/>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cPr>
      <w:tcBorders/>
    </w:tcPr>
    <w:tblStylePr w:type="band1Horz">
      <w:rPr>
        <w:rFonts w:ascii="Arial" w:hAnsi="Arial"/>
        <w:color w:val="404040"/>
        <w:sz w:val="22"/>
      </w:rPr>
      <w:pPr>
        <w:pBdr/>
        <w:spacing/>
        <w:ind/>
      </w:pPr>
      <w:tblPr>
        <w:tblBorders/>
      </w:tblPr>
      <w:tcPr>
        <w:shd w:val="clear" w:color="dae5f1"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dae5f1"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Grid Table 2 Accent 2"/>
    <w:basedOn w:val="956"/>
    <w:uiPriority w:val="99"/>
    <w:pPr>
      <w:pBdr/>
      <w:spacing/>
      <w:ind/>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Grid Table 2 Accent 3"/>
    <w:basedOn w:val="956"/>
    <w:uiPriority w:val="99"/>
    <w:pPr>
      <w:pBdr/>
      <w:spacing/>
      <w:ind/>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cPr>
      <w:tcBorders/>
    </w:tcPr>
    <w:tblStylePr w:type="band1Horz">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1Vert">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Grid Table 2 Accent 4"/>
    <w:basedOn w:val="956"/>
    <w:uiPriority w:val="99"/>
    <w:pPr>
      <w:pBdr/>
      <w:spacing/>
      <w:ind/>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Grid Table 2 Accent 5"/>
    <w:basedOn w:val="956"/>
    <w:uiPriority w:val="99"/>
    <w:pPr>
      <w:pBdr/>
      <w:spacing/>
      <w:ind/>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bacc6"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Grid Table 2 Accent 6"/>
    <w:basedOn w:val="956"/>
    <w:uiPriority w:val="99"/>
    <w:pPr>
      <w:pBdr/>
      <w:spacing/>
      <w:ind/>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79646"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Grid Table 3"/>
    <w:basedOn w:val="956"/>
    <w:uiPriority w:val="99"/>
    <w:pPr>
      <w:pBdr/>
      <w:spacing/>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Grid Table 3 Accent 1"/>
    <w:basedOn w:val="956"/>
    <w:uiPriority w:val="99"/>
    <w:pPr>
      <w:pBdr/>
      <w:spacing/>
      <w:ind/>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cPr>
      <w:tcBorders/>
    </w:tcPr>
    <w:tblStylePr w:type="band1Horz">
      <w:rPr>
        <w:rFonts w:ascii="Arial" w:hAnsi="Arial"/>
        <w:color w:val="404040"/>
        <w:sz w:val="22"/>
      </w:rPr>
      <w:pPr>
        <w:pBdr/>
        <w:spacing/>
        <w:ind/>
      </w:pPr>
      <w:tblPr>
        <w:tblBorders/>
      </w:tblPr>
      <w:tcPr>
        <w:shd w:val="clear" w:color="dae5f1"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dae5f1"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Grid Table 3 Accent 2"/>
    <w:basedOn w:val="956"/>
    <w:uiPriority w:val="99"/>
    <w:pPr>
      <w:pBdr/>
      <w:spacing/>
      <w:ind/>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Grid Table 3 Accent 3"/>
    <w:basedOn w:val="956"/>
    <w:uiPriority w:val="99"/>
    <w:pPr>
      <w:pBdr/>
      <w:spacing/>
      <w:ind/>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cPr>
      <w:tcBorders/>
    </w:tcPr>
    <w:tblStylePr w:type="band1Horz">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1Vert">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Grid Table 3 Accent 4"/>
    <w:basedOn w:val="956"/>
    <w:uiPriority w:val="99"/>
    <w:pPr>
      <w:pBdr/>
      <w:spacing/>
      <w:ind/>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Grid Table 3 Accent 5"/>
    <w:basedOn w:val="956"/>
    <w:uiPriority w:val="99"/>
    <w:pPr>
      <w:pBdr/>
      <w:spacing/>
      <w:ind/>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Grid Table 3 Accent 6"/>
    <w:basedOn w:val="956"/>
    <w:uiPriority w:val="99"/>
    <w:pPr>
      <w:pBdr/>
      <w:spacing/>
      <w:ind/>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Grid Table 4"/>
    <w:basedOn w:val="956"/>
    <w:uiPriority w:val="59"/>
    <w:pPr>
      <w:pBdr/>
      <w:spacing/>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Grid Table 4 Accent 1"/>
    <w:basedOn w:val="956"/>
    <w:uiPriority w:val="59"/>
    <w:pPr>
      <w:pBdr/>
      <w:spacing/>
      <w:ind/>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ce6f2"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dce6f2"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d8ac2"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Grid Table 4 Accent 2"/>
    <w:basedOn w:val="956"/>
    <w:uiPriority w:val="59"/>
    <w:pPr>
      <w:pBdr/>
      <w:spacing/>
      <w:ind/>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d9969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Grid Table 4 Accent 3"/>
    <w:basedOn w:val="956"/>
    <w:uiPriority w:val="59"/>
    <w:pPr>
      <w:pBdr/>
      <w:spacing/>
      <w:ind/>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1Vert">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9abb59"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Grid Table 4 Accent 4"/>
    <w:basedOn w:val="956"/>
    <w:uiPriority w:val="59"/>
    <w:pPr>
      <w:pBdr/>
      <w:spacing/>
      <w:ind/>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b2a1c6"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Grid Table 4 Accent 5"/>
    <w:basedOn w:val="956"/>
    <w:uiPriority w:val="59"/>
    <w:pPr>
      <w:pBdr/>
      <w:spacing/>
      <w:ind/>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bacc6"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Grid Table 4 Accent 6"/>
    <w:basedOn w:val="956"/>
    <w:uiPriority w:val="59"/>
    <w:pPr>
      <w:pBdr/>
      <w:spacing/>
      <w:ind/>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79646"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Grid Table 5 Dark"/>
    <w:basedOn w:val="956"/>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customStyle="1">
    <w:name w:val="Grid Table 5 Dark- Accent 1"/>
    <w:basedOn w:val="956"/>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cPr>
      <w:tcBorders/>
    </w:tcPr>
    <w:tblStylePr w:type="band1Horz">
      <w:pPr>
        <w:pBdr/>
        <w:spacing/>
        <w:ind/>
      </w:pPr>
      <w:tblPr>
        <w:tblBorders/>
      </w:tblPr>
      <w:tcPr>
        <w:shd w:val="clear" w:color="aec4e0" w:themeColor="accent1" w:themeTint="75" w:fill="aec4e0" w:themeFill="accent1" w:themeFillTint="75"/>
        <w:tcBorders/>
      </w:tcPr>
    </w:tblStylePr>
    <w:tblStylePr w:type="band1Vert">
      <w:pPr>
        <w:pBdr/>
        <w:spacing/>
        <w:ind/>
      </w:pPr>
      <w:tblPr>
        <w:tblBorders/>
      </w:tblPr>
      <w:tcPr>
        <w:shd w:val="clear" w:color="aec4e0" w:themeColor="accent1" w:themeTint="75" w:fill="aec4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f81bd" w:themeColor="accent1" w:fill="4f81bd" w:themeFill="accent1"/>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rFonts w:ascii="Arial" w:hAnsi="Arial"/>
        <w:b/>
        <w:color w:val="ffffff"/>
        <w:sz w:val="22"/>
      </w:rPr>
      <w:pPr>
        <w:pBdr/>
        <w:spacing/>
        <w:ind/>
      </w:pPr>
      <w:tblPr>
        <w:tblBorders/>
      </w:tblPr>
      <w:tcPr>
        <w:shd w:val="clear" w:color="4f81bd" w:themeColor="accent1" w:fill="4f81bd" w:themeFill="accent1"/>
        <w:tcBorders/>
      </w:tcPr>
    </w:tblStylePr>
    <w:tblStylePr w:type="lastRow">
      <w:rPr>
        <w:rFonts w:ascii="Arial" w:hAnsi="Arial"/>
        <w:b/>
        <w:color w:val="ffffff"/>
        <w:sz w:val="22"/>
      </w:rPr>
      <w:pPr>
        <w:pBdr/>
        <w:spacing/>
        <w:ind/>
      </w:pPr>
      <w:tblPr>
        <w:tblBorders/>
      </w:tblPr>
      <w:tcPr>
        <w:shd w:val="clear" w:color="4f81bd" w:themeColor="accent1" w:fill="4f81bd"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Grid Table 5 Dark Accent 2"/>
    <w:basedOn w:val="956"/>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cPr>
      <w:tcBorders/>
    </w:tcPr>
    <w:tblStylePr w:type="band1Horz">
      <w:pPr>
        <w:pBdr/>
        <w:spacing/>
        <w:ind/>
      </w:pPr>
      <w:tblPr>
        <w:tblBorders/>
      </w:tblPr>
      <w:tcPr>
        <w:shd w:val="clear" w:color="e2aead" w:themeColor="accent2" w:themeTint="75" w:fill="e2aead" w:themeFill="accent2" w:themeFillTint="75"/>
        <w:tcBorders/>
      </w:tcPr>
    </w:tblStylePr>
    <w:tblStylePr w:type="band1Vert">
      <w:pPr>
        <w:pBdr/>
        <w:spacing/>
        <w:ind/>
      </w:pPr>
      <w:tblPr>
        <w:tblBorders/>
      </w:tblPr>
      <w:tcPr>
        <w:shd w:val="clear" w:color="e2aead" w:themeColor="accent2" w:themeTint="75" w:fill="e2ae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c0504d" w:themeColor="accent2" w:fill="c0504d" w:themeFill="accent2"/>
        <w:tcBorders/>
      </w:tcPr>
    </w:tblStylePr>
    <w:tblStylePr w:type="firstRow">
      <w:rPr>
        <w:rFonts w:ascii="Arial" w:hAnsi="Arial"/>
        <w:b/>
        <w:color w:val="ffffff"/>
        <w:sz w:val="22"/>
      </w:rPr>
      <w:pPr>
        <w:pBdr/>
        <w:spacing/>
        <w:ind/>
      </w:pPr>
      <w:tblPr>
        <w:tblBorders/>
      </w:tblPr>
      <w:tcPr>
        <w:shd w:val="clear" w:color="c0504d" w:themeColor="accent2" w:fill="c0504d" w:themeFill="accent2"/>
        <w:tcBorders/>
      </w:tcPr>
    </w:tblStylePr>
    <w:tblStylePr w:type="lastCol">
      <w:rPr>
        <w:rFonts w:ascii="Arial" w:hAnsi="Arial"/>
        <w:b/>
        <w:color w:val="ffffff"/>
        <w:sz w:val="22"/>
      </w:rPr>
      <w:pPr>
        <w:pBdr/>
        <w:spacing/>
        <w:ind/>
      </w:pPr>
      <w:tblPr>
        <w:tblBorders/>
      </w:tblPr>
      <w:tcPr>
        <w:shd w:val="clear" w:color="c0504d" w:themeColor="accent2" w:fill="c0504d" w:themeFill="accent2"/>
        <w:tcBorders/>
      </w:tcPr>
    </w:tblStylePr>
    <w:tblStylePr w:type="lastRow">
      <w:rPr>
        <w:rFonts w:ascii="Arial" w:hAnsi="Arial"/>
        <w:b/>
        <w:color w:val="ffffff"/>
        <w:sz w:val="22"/>
      </w:rPr>
      <w:pPr>
        <w:pBdr/>
        <w:spacing/>
        <w:ind/>
      </w:pPr>
      <w:tblPr>
        <w:tblBorders/>
      </w:tblPr>
      <w:tcPr>
        <w:shd w:val="clear" w:color="c0504d" w:themeColor="accent2" w:fill="c0504d"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Grid Table 5 Dark Accent 3"/>
    <w:basedOn w:val="956"/>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cPr>
      <w:tcBorders/>
    </w:tcPr>
    <w:tblStylePr w:type="band1Horz">
      <w:pPr>
        <w:pBdr/>
        <w:spacing/>
        <w:ind/>
      </w:pPr>
      <w:tblPr>
        <w:tblBorders/>
      </w:tblPr>
      <w:tcPr>
        <w:shd w:val="clear" w:color="d0dfb2" w:themeColor="accent3" w:themeTint="75" w:fill="d0dfb2" w:themeFill="accent3" w:themeFillTint="75"/>
        <w:tcBorders/>
      </w:tcPr>
    </w:tblStylePr>
    <w:tblStylePr w:type="band1Vert">
      <w:pPr>
        <w:pBdr/>
        <w:spacing/>
        <w:ind/>
      </w:pPr>
      <w:tblPr>
        <w:tblBorders/>
      </w:tblPr>
      <w:tcPr>
        <w:shd w:val="clear" w:color="d0dfb2" w:themeColor="accent3" w:themeTint="75" w:fill="d0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9bbb59" w:themeColor="accent3" w:fill="9bbb59" w:themeFill="accent3"/>
        <w:tcBorders/>
      </w:tcPr>
    </w:tblStylePr>
    <w:tblStylePr w:type="firstRow">
      <w:rPr>
        <w:rFonts w:ascii="Arial" w:hAnsi="Arial"/>
        <w:b/>
        <w:color w:val="ffffff"/>
        <w:sz w:val="22"/>
      </w:rPr>
      <w:pPr>
        <w:pBdr/>
        <w:spacing/>
        <w:ind/>
      </w:pPr>
      <w:tblPr>
        <w:tblBorders/>
      </w:tblPr>
      <w:tcPr>
        <w:shd w:val="clear" w:color="9bbb59" w:themeColor="accent3" w:fill="9bbb59" w:themeFill="accent3"/>
        <w:tcBorders/>
      </w:tcPr>
    </w:tblStylePr>
    <w:tblStylePr w:type="lastCol">
      <w:rPr>
        <w:rFonts w:ascii="Arial" w:hAnsi="Arial"/>
        <w:b/>
        <w:color w:val="ffffff"/>
        <w:sz w:val="22"/>
      </w:rPr>
      <w:pPr>
        <w:pBdr/>
        <w:spacing/>
        <w:ind/>
      </w:pPr>
      <w:tblPr>
        <w:tblBorders/>
      </w:tblPr>
      <w:tcPr>
        <w:shd w:val="clear" w:color="9bbb59" w:themeColor="accent3" w:fill="9bbb59" w:themeFill="accent3"/>
        <w:tcBorders/>
      </w:tcPr>
    </w:tblStylePr>
    <w:tblStylePr w:type="lastRow">
      <w:rPr>
        <w:rFonts w:ascii="Arial" w:hAnsi="Arial"/>
        <w:b/>
        <w:color w:val="ffffff"/>
        <w:sz w:val="22"/>
      </w:rPr>
      <w:pPr>
        <w:pBdr/>
        <w:spacing/>
        <w:ind/>
      </w:pPr>
      <w:tblPr>
        <w:tblBorders/>
      </w:tblPr>
      <w:tcPr>
        <w:shd w:val="clear" w:color="9bbb59" w:themeColor="accent3" w:fill="9bbb59"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customStyle="1">
    <w:name w:val="Grid Table 5 Dark- Accent 4"/>
    <w:basedOn w:val="956"/>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cPr>
      <w:tcBorders/>
    </w:tcPr>
    <w:tblStylePr w:type="band1Horz">
      <w:pPr>
        <w:pBdr/>
        <w:spacing/>
        <w:ind/>
      </w:pPr>
      <w:tblPr>
        <w:tblBorders/>
      </w:tblPr>
      <w:tcPr>
        <w:shd w:val="clear" w:color="c4b7d4" w:themeColor="accent4" w:themeTint="75" w:fill="c4b7d4" w:themeFill="accent4" w:themeFillTint="75"/>
        <w:tcBorders/>
      </w:tcPr>
    </w:tblStylePr>
    <w:tblStylePr w:type="band1Vert">
      <w:pPr>
        <w:pBdr/>
        <w:spacing/>
        <w:ind/>
      </w:pPr>
      <w:tblPr>
        <w:tblBorders/>
      </w:tblPr>
      <w:tcPr>
        <w:shd w:val="clear" w:color="c4b7d4"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8064a2" w:themeColor="accent4" w:fill="8064a2" w:themeFill="accent4"/>
        <w:tcBorders/>
      </w:tcPr>
    </w:tblStylePr>
    <w:tblStylePr w:type="firstRow">
      <w:rPr>
        <w:rFonts w:ascii="Arial" w:hAnsi="Arial"/>
        <w:b/>
        <w:color w:val="ffffff"/>
        <w:sz w:val="22"/>
      </w:rPr>
      <w:pPr>
        <w:pBdr/>
        <w:spacing/>
        <w:ind/>
      </w:pPr>
      <w:tblPr>
        <w:tblBorders/>
      </w:tblPr>
      <w:tcPr>
        <w:shd w:val="clear" w:color="8064a2" w:themeColor="accent4" w:fill="8064a2" w:themeFill="accent4"/>
        <w:tcBorders/>
      </w:tcPr>
    </w:tblStylePr>
    <w:tblStylePr w:type="lastCol">
      <w:rPr>
        <w:rFonts w:ascii="Arial" w:hAnsi="Arial"/>
        <w:b/>
        <w:color w:val="ffffff"/>
        <w:sz w:val="22"/>
      </w:rPr>
      <w:pPr>
        <w:pBdr/>
        <w:spacing/>
        <w:ind/>
      </w:pPr>
      <w:tblPr>
        <w:tblBorders/>
      </w:tblPr>
      <w:tcPr>
        <w:shd w:val="clear" w:color="8064a2" w:themeColor="accent4" w:fill="8064a2" w:themeFill="accent4"/>
        <w:tcBorders/>
      </w:tcPr>
    </w:tblStylePr>
    <w:tblStylePr w:type="lastRow">
      <w:rPr>
        <w:rFonts w:ascii="Arial" w:hAnsi="Arial"/>
        <w:b/>
        <w:color w:val="ffffff"/>
        <w:sz w:val="22"/>
      </w:rPr>
      <w:pPr>
        <w:pBdr/>
        <w:spacing/>
        <w:ind/>
      </w:pPr>
      <w:tblPr>
        <w:tblBorders/>
      </w:tblPr>
      <w:tcPr>
        <w:shd w:val="clear" w:color="8064a2" w:themeColor="accent4" w:fill="8064a2"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Grid Table 5 Dark Accent 5"/>
    <w:basedOn w:val="956"/>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cPr>
      <w:tcBorders/>
    </w:tcPr>
    <w:tblStylePr w:type="band1Horz">
      <w:pPr>
        <w:pBdr/>
        <w:spacing/>
        <w:ind/>
      </w:pPr>
      <w:tblPr>
        <w:tblBorders/>
      </w:tblPr>
      <w:tcPr>
        <w:shd w:val="clear" w:color="acd8e4" w:themeColor="accent5" w:themeTint="75" w:fill="acd8e4" w:themeFill="accent5" w:themeFillTint="75"/>
        <w:tcBorders/>
      </w:tcPr>
    </w:tblStylePr>
    <w:tblStylePr w:type="band1Vert">
      <w:pPr>
        <w:pBdr/>
        <w:spacing/>
        <w:ind/>
      </w:pPr>
      <w:tblPr>
        <w:tblBorders/>
      </w:tblPr>
      <w:tcPr>
        <w:shd w:val="clear" w:color="acd8e4" w:themeColor="accent5" w:themeTint="75" w:fill="acd8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bacc6" w:themeColor="accent5" w:fill="4bacc6" w:themeFill="accent5"/>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cPr>
    </w:tblStylePr>
    <w:tblStylePr w:type="lastCol">
      <w:rPr>
        <w:rFonts w:ascii="Arial" w:hAnsi="Arial"/>
        <w:b/>
        <w:color w:val="ffffff"/>
        <w:sz w:val="22"/>
      </w:rPr>
      <w:pPr>
        <w:pBdr/>
        <w:spacing/>
        <w:ind/>
      </w:pPr>
      <w:tblPr>
        <w:tblBorders/>
      </w:tblPr>
      <w:tcPr>
        <w:shd w:val="clear" w:color="4bacc6" w:themeColor="accent5" w:fill="4bacc6" w:themeFill="accent5"/>
        <w:tcBorders/>
      </w:tcPr>
    </w:tblStylePr>
    <w:tblStylePr w:type="lastRow">
      <w:rPr>
        <w:rFonts w:ascii="Arial" w:hAnsi="Arial"/>
        <w:b/>
        <w:color w:val="ffffff"/>
        <w:sz w:val="22"/>
      </w:rPr>
      <w:pPr>
        <w:pBdr/>
        <w:spacing/>
        <w:ind/>
      </w:pPr>
      <w:tblPr>
        <w:tblBorders/>
      </w:tblPr>
      <w:tcPr>
        <w:shd w:val="clear" w:color="4bacc6" w:themeColor="accent5" w:fill="4bacc6"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Grid Table 5 Dark Accent 6"/>
    <w:basedOn w:val="956"/>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cPr>
      <w:tcBorders/>
    </w:tcPr>
    <w:tblStylePr w:type="band1Horz">
      <w:pPr>
        <w:pBdr/>
        <w:spacing/>
        <w:ind/>
      </w:pPr>
      <w:tblPr>
        <w:tblBorders/>
      </w:tblPr>
      <w:tcPr>
        <w:shd w:val="clear" w:color="fbceaa" w:themeColor="accent6" w:themeTint="75" w:fill="fbceaa" w:themeFill="accent6" w:themeFillTint="75"/>
        <w:tcBorders/>
      </w:tcPr>
    </w:tblStylePr>
    <w:tblStylePr w:type="band1Vert">
      <w:pPr>
        <w:pBdr/>
        <w:spacing/>
        <w:ind/>
      </w:pPr>
      <w:tblPr>
        <w:tblBorders/>
      </w:tblPr>
      <w:tcPr>
        <w:shd w:val="clear" w:color="fbceaa" w:themeColor="accent6" w:themeTint="75" w:fill="fbce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79646" w:themeColor="accent6" w:fill="f79646" w:themeFill="accent6"/>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cPr>
    </w:tblStylePr>
    <w:tblStylePr w:type="lastCol">
      <w:rPr>
        <w:rFonts w:ascii="Arial" w:hAnsi="Arial"/>
        <w:b/>
        <w:color w:val="ffffff"/>
        <w:sz w:val="22"/>
      </w:rPr>
      <w:pPr>
        <w:pBdr/>
        <w:spacing/>
        <w:ind/>
      </w:pPr>
      <w:tblPr>
        <w:tblBorders/>
      </w:tblPr>
      <w:tcPr>
        <w:shd w:val="clear" w:color="f79646" w:themeColor="accent6" w:fill="f79646" w:themeFill="accent6"/>
        <w:tcBorders/>
      </w:tcPr>
    </w:tblStylePr>
    <w:tblStylePr w:type="lastRow">
      <w:rPr>
        <w:rFonts w:ascii="Arial" w:hAnsi="Arial"/>
        <w:b/>
        <w:color w:val="ffffff"/>
        <w:sz w:val="22"/>
      </w:rPr>
      <w:pPr>
        <w:pBdr/>
        <w:spacing/>
        <w:ind/>
      </w:pPr>
      <w:tblPr>
        <w:tblBorders/>
      </w:tblPr>
      <w:tcPr>
        <w:shd w:val="clear" w:color="f79646" w:themeColor="accent6" w:fill="f79646"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Grid Table 6 Colorful"/>
    <w:basedOn w:val="956"/>
    <w:uiPriority w:val="99"/>
    <w:pPr>
      <w:pBdr/>
      <w:spacing/>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Grid Table 6 Colorful Accent 1"/>
    <w:basedOn w:val="956"/>
    <w:uiPriority w:val="99"/>
    <w:pPr>
      <w:pBdr/>
      <w:spacing/>
      <w:ind/>
    </w:pPr>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cPr>
      <w:tcBorders/>
    </w:tcPr>
    <w:tblStylePr w:type="band1Horz">
      <w:rPr>
        <w:rFonts w:ascii="Arial" w:hAnsi="Arial"/>
        <w:color w:val="a6bfdd" w:themeColor="accent1" w:themeTint="80" w:themeShade="95"/>
        <w:sz w:val="22"/>
      </w:rPr>
      <w:pPr>
        <w:pBdr/>
        <w:spacing/>
        <w:ind/>
      </w:pPr>
      <w:tblPr>
        <w:tblBorders/>
      </w:tblPr>
      <w:tcPr>
        <w:shd w:val="clear" w:color="dae5f1" w:themeColor="accent1" w:themeTint="34" w:fill="dae5f1" w:themeFill="accent1" w:themeFillTint="34"/>
        <w:tcBorders/>
      </w:tcPr>
    </w:tblStylePr>
    <w:tblStylePr w:type="band1Vert">
      <w:pPr>
        <w:pBdr/>
        <w:spacing/>
        <w:ind/>
      </w:pPr>
      <w:tblPr>
        <w:tblBorders/>
      </w:tblPr>
      <w:tcPr>
        <w:shd w:val="clear" w:color="dae5f1" w:themeColor="accent1" w:themeTint="34" w:fill="dae5f1" w:themeFill="accent1" w:themeFillTint="34"/>
        <w:tcBorders/>
      </w:tcPr>
    </w:tblStylePr>
    <w:tblStylePr w:type="band2Horz">
      <w:rPr>
        <w:rFonts w:ascii="Arial" w:hAnsi="Arial"/>
        <w:color w:val="a6bfd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6bfdd" w:themeColor="accent1" w:themeTint="80" w:themeShade="95"/>
      </w:rPr>
      <w:pPr>
        <w:pBdr/>
        <w:spacing/>
        <w:ind/>
      </w:pPr>
      <w:tblPr>
        <w:tblBorders/>
      </w:tblPr>
      <w:tcPr>
        <w:tcBorders/>
      </w:tcPr>
    </w:tblStylePr>
    <w:tblStylePr w:type="firstRow">
      <w:rPr>
        <w:b/>
        <w:color w:val="a6bfdd" w:themeColor="accent1" w:themeTint="80" w:themeShade="95"/>
      </w:rPr>
      <w:pPr>
        <w:pBdr/>
        <w:spacing/>
        <w:ind/>
      </w:pPr>
      <w:tblPr>
        <w:tblBorders/>
      </w:tblPr>
      <w:tcPr>
        <w:tcBorders>
          <w:bottom w:val="single" w:color="a6bfdd" w:themeColor="accent1" w:themeTint="80" w:sz="12" w:space="0"/>
        </w:tcBorders>
      </w:tcPr>
    </w:tblStylePr>
    <w:tblStylePr w:type="lastCol">
      <w:rPr>
        <w:b/>
        <w:color w:val="a6bfdd" w:themeColor="accent1" w:themeTint="80" w:themeShade="95"/>
      </w:rPr>
      <w:pPr>
        <w:pBdr/>
        <w:spacing/>
        <w:ind/>
      </w:pPr>
      <w:tblPr>
        <w:tblBorders/>
      </w:tblPr>
      <w:tcPr>
        <w:tcBorders/>
      </w:tcPr>
    </w:tblStylePr>
    <w:tblStylePr w:type="lastRow">
      <w:rPr>
        <w:b/>
        <w:color w:val="a6bfd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Grid Table 6 Colorful Accent 2"/>
    <w:basedOn w:val="956"/>
    <w:uiPriority w:val="99"/>
    <w:pPr>
      <w:pBdr/>
      <w:spacing/>
      <w:ind/>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cPr>
      <w:tcBorders/>
    </w:tcPr>
    <w:tblStylePr w:type="band1Horz">
      <w:rPr>
        <w:rFonts w:ascii="Arial" w:hAnsi="Arial"/>
        <w:color w:val="d99695" w:themeColor="accent2" w:themeTint="97" w:themeShade="95"/>
        <w:sz w:val="22"/>
      </w:rPr>
      <w:pPr>
        <w:pBdr/>
        <w:spacing/>
        <w:ind/>
      </w:pPr>
      <w:tblPr>
        <w:tblBorders/>
      </w:tblPr>
      <w:tcPr>
        <w:shd w:val="clear" w:color="f2dcdc" w:themeColor="accent2" w:themeTint="32" w:fill="f2dcdc" w:themeFill="accent2" w:themeFillTint="32"/>
        <w:tcBorders/>
      </w:tcPr>
    </w:tblStylePr>
    <w:tblStylePr w:type="band1Vert">
      <w:pPr>
        <w:pBdr/>
        <w:spacing/>
        <w:ind/>
      </w:pPr>
      <w:tblPr>
        <w:tblBorders/>
      </w:tblPr>
      <w:tcPr>
        <w:shd w:val="clear" w:color="f2dcdc" w:themeColor="accent2" w:themeTint="32" w:fill="f2dcdc" w:themeFill="accent2" w:themeFillTint="32"/>
        <w:tcBorders/>
      </w:tcPr>
    </w:tblStylePr>
    <w:tblStylePr w:type="band2Horz">
      <w:rPr>
        <w:rFonts w:ascii="Arial" w:hAnsi="Arial"/>
        <w:color w:val="d9969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9695" w:themeColor="accent2" w:themeTint="97" w:themeShade="95"/>
      </w:rPr>
      <w:pPr>
        <w:pBdr/>
        <w:spacing/>
        <w:ind/>
      </w:pPr>
      <w:tblPr>
        <w:tblBorders/>
      </w:tblPr>
      <w:tcPr>
        <w:tcBorders/>
      </w:tcPr>
    </w:tblStylePr>
    <w:tblStylePr w:type="firstRow">
      <w:rPr>
        <w:b/>
        <w:color w:val="d99695" w:themeColor="accent2" w:themeTint="97" w:themeShade="95"/>
      </w:rPr>
      <w:pPr>
        <w:pBdr/>
        <w:spacing/>
        <w:ind/>
      </w:pPr>
      <w:tblPr>
        <w:tblBorders/>
      </w:tblPr>
      <w:tcPr>
        <w:tcBorders>
          <w:bottom w:val="single" w:color="d99695" w:themeColor="accent2" w:themeTint="97" w:sz="12" w:space="0"/>
        </w:tcBorders>
      </w:tcPr>
    </w:tblStylePr>
    <w:tblStylePr w:type="lastCol">
      <w:rPr>
        <w:b/>
        <w:color w:val="d99695" w:themeColor="accent2" w:themeTint="97" w:themeShade="95"/>
      </w:rPr>
      <w:pPr>
        <w:pBdr/>
        <w:spacing/>
        <w:ind/>
      </w:pPr>
      <w:tblPr>
        <w:tblBorders/>
      </w:tblPr>
      <w:tcPr>
        <w:tcBorders/>
      </w:tcPr>
    </w:tblStylePr>
    <w:tblStylePr w:type="lastRow">
      <w:rPr>
        <w:b/>
        <w:color w:val="d99695"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Grid Table 6 Colorful Accent 3"/>
    <w:basedOn w:val="956"/>
    <w:uiPriority w:val="99"/>
    <w:pPr>
      <w:pBdr/>
      <w:spacing/>
      <w:ind/>
    </w:pPr>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cPr>
      <w:tcBorders/>
    </w:tcPr>
    <w:tblStylePr w:type="band1Horz">
      <w:rPr>
        <w:rFonts w:ascii="Arial" w:hAnsi="Arial"/>
        <w:color w:val="9abb59" w:themeColor="accent3" w:themeTint="FE" w:themeShade="95"/>
        <w:sz w:val="22"/>
      </w:rPr>
      <w:pPr>
        <w:pBdr/>
        <w:spacing/>
        <w:ind/>
      </w:pPr>
      <w:tblPr>
        <w:tblBorders/>
      </w:tblPr>
      <w:tcPr>
        <w:shd w:val="clear" w:color="eaf1dc" w:themeColor="accent3" w:themeTint="34" w:fill="eaf1dc" w:themeFill="accent3" w:themeFillTint="34"/>
        <w:tcBorders/>
      </w:tcPr>
    </w:tblStylePr>
    <w:tblStylePr w:type="band1Vert">
      <w:pPr>
        <w:pBdr/>
        <w:spacing/>
        <w:ind/>
      </w:pPr>
      <w:tblPr>
        <w:tblBorders/>
      </w:tblPr>
      <w:tcPr>
        <w:shd w:val="clear" w:color="eaf1dc" w:themeColor="accent3" w:themeTint="34" w:fill="eaf1dc" w:themeFill="accent3" w:themeFillTint="34"/>
        <w:tcBorders/>
      </w:tcPr>
    </w:tblStylePr>
    <w:tblStylePr w:type="band2Horz">
      <w:rPr>
        <w:rFonts w:ascii="Arial" w:hAnsi="Arial"/>
        <w:color w:val="9abb59"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abb59" w:themeColor="accent3" w:themeTint="FE" w:themeShade="95"/>
      </w:rPr>
      <w:pPr>
        <w:pBdr/>
        <w:spacing/>
        <w:ind/>
      </w:pPr>
      <w:tblPr>
        <w:tblBorders/>
      </w:tblPr>
      <w:tcPr>
        <w:tcBorders/>
      </w:tcPr>
    </w:tblStylePr>
    <w:tblStylePr w:type="firstRow">
      <w:rPr>
        <w:b/>
        <w:color w:val="9abb59" w:themeColor="accent3" w:themeTint="FE" w:themeShade="95"/>
      </w:rPr>
      <w:pPr>
        <w:pBdr/>
        <w:spacing/>
        <w:ind/>
      </w:pPr>
      <w:tblPr>
        <w:tblBorders/>
      </w:tblPr>
      <w:tcPr>
        <w:tcBorders>
          <w:bottom w:val="single" w:color="9abb59" w:themeColor="accent3" w:themeTint="FE" w:sz="12" w:space="0"/>
        </w:tcBorders>
      </w:tcPr>
    </w:tblStylePr>
    <w:tblStylePr w:type="lastCol">
      <w:rPr>
        <w:b/>
        <w:color w:val="9abb59" w:themeColor="accent3" w:themeTint="FE" w:themeShade="95"/>
      </w:rPr>
      <w:pPr>
        <w:pBdr/>
        <w:spacing/>
        <w:ind/>
      </w:pPr>
      <w:tblPr>
        <w:tblBorders/>
      </w:tblPr>
      <w:tcPr>
        <w:tcBorders/>
      </w:tcPr>
    </w:tblStylePr>
    <w:tblStylePr w:type="lastRow">
      <w:rPr>
        <w:b/>
        <w:color w:val="9abb59"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name w:val="Grid Table 6 Colorful Accent 4"/>
    <w:basedOn w:val="956"/>
    <w:uiPriority w:val="99"/>
    <w:pPr>
      <w:pBdr/>
      <w:spacing/>
      <w:ind/>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b2a1c6" w:themeColor="accent4" w:themeTint="9A" w:themeShade="95"/>
        <w:sz w:val="22"/>
      </w:rPr>
      <w:pPr>
        <w:pBdr/>
        <w:spacing/>
        <w:ind/>
      </w:pPr>
      <w:tblPr>
        <w:tblBorders/>
      </w:tblPr>
      <w:tcPr>
        <w:shd w:val="clear" w:color="e5dfec" w:themeColor="accent4" w:themeTint="34" w:fill="e5dfec" w:themeFill="accent4" w:themeFillTint="34"/>
        <w:tcBorders/>
      </w:tcPr>
    </w:tblStylePr>
    <w:tblStylePr w:type="band1Vert">
      <w:pPr>
        <w:pBdr/>
        <w:spacing/>
        <w:ind/>
      </w:pPr>
      <w:tblPr>
        <w:tblBorders/>
      </w:tblPr>
      <w:tcPr>
        <w:shd w:val="clear" w:color="e5dfec" w:themeColor="accent4" w:themeTint="34" w:fill="e5dfec" w:themeFill="accent4" w:themeFillTint="34"/>
        <w:tcBorders/>
      </w:tcPr>
    </w:tblStylePr>
    <w:tblStylePr w:type="band2Horz">
      <w:rPr>
        <w:rFonts w:ascii="Arial" w:hAnsi="Arial"/>
        <w:color w:val="b2a1c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b2a1c6" w:themeColor="accent4" w:themeTint="9A" w:themeShade="95"/>
      </w:rPr>
      <w:pPr>
        <w:pBdr/>
        <w:spacing/>
        <w:ind/>
      </w:pPr>
      <w:tblPr>
        <w:tblBorders/>
      </w:tblPr>
      <w:tcPr>
        <w:tcBorders/>
      </w:tcPr>
    </w:tblStylePr>
    <w:tblStylePr w:type="firstRow">
      <w:rPr>
        <w:b/>
        <w:color w:val="b2a1c6" w:themeColor="accent4" w:themeTint="9A" w:themeShade="95"/>
      </w:rPr>
      <w:pPr>
        <w:pBdr/>
        <w:spacing/>
        <w:ind/>
      </w:pPr>
      <w:tblPr>
        <w:tblBorders/>
      </w:tblPr>
      <w:tcPr>
        <w:tcBorders>
          <w:bottom w:val="single" w:color="b2a1c6" w:themeColor="accent4" w:themeTint="9A" w:sz="12" w:space="0"/>
        </w:tcBorders>
      </w:tcPr>
    </w:tblStylePr>
    <w:tblStylePr w:type="lastCol">
      <w:rPr>
        <w:b/>
        <w:color w:val="b2a1c6" w:themeColor="accent4" w:themeTint="9A" w:themeShade="95"/>
      </w:rPr>
      <w:pPr>
        <w:pBdr/>
        <w:spacing/>
        <w:ind/>
      </w:pPr>
      <w:tblPr>
        <w:tblBorders/>
      </w:tblPr>
      <w:tcPr>
        <w:tcBorders/>
      </w:tcPr>
    </w:tblStylePr>
    <w:tblStylePr w:type="lastRow">
      <w:rPr>
        <w:b/>
        <w:color w:val="b2a1c6"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name w:val="Grid Table 6 Colorful Accent 5"/>
    <w:basedOn w:val="956"/>
    <w:uiPriority w:val="99"/>
    <w:pPr>
      <w:pBdr/>
      <w:spacing/>
      <w:ind/>
    </w:pPr>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266779" w:themeColor="accent5" w:themeShade="95"/>
        <w:sz w:val="22"/>
      </w:rPr>
      <w:pPr>
        <w:pBdr/>
        <w:spacing/>
        <w:ind/>
      </w:pPr>
      <w:tblPr>
        <w:tblBorders/>
      </w:tblPr>
      <w:tcPr>
        <w:shd w:val="clear" w:color="daeef3" w:themeColor="accent5" w:themeTint="34" w:fill="daeef3" w:themeFill="accent5" w:themeFillTint="34"/>
        <w:tcBorders/>
      </w:tcPr>
    </w:tblStylePr>
    <w:tblStylePr w:type="band1Vert">
      <w:pPr>
        <w:pBdr/>
        <w:spacing/>
        <w:ind/>
      </w:pPr>
      <w:tblPr>
        <w:tblBorders/>
      </w:tblPr>
      <w:tcPr>
        <w:shd w:val="clear" w:color="daeef3" w:themeColor="accent5" w:themeTint="34" w:fill="daeef3" w:themeFill="accent5" w:themeFillTint="34"/>
        <w:tcBorders/>
      </w:tcPr>
    </w:tblStylePr>
    <w:tblStylePr w:type="band2Horz">
      <w:rPr>
        <w:rFonts w:ascii="Arial" w:hAnsi="Arial"/>
        <w:color w:val="2667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9" w:themeColor="accent5" w:themeShade="95"/>
      </w:rPr>
      <w:pPr>
        <w:pBdr/>
        <w:spacing/>
        <w:ind/>
      </w:pPr>
      <w:tblPr>
        <w:tblBorders/>
      </w:tblPr>
      <w:tcPr>
        <w:tcBorders/>
      </w:tcPr>
    </w:tblStylePr>
    <w:tblStylePr w:type="firstRow">
      <w:rPr>
        <w:b/>
        <w:color w:val="266779" w:themeColor="accent5" w:themeShade="95"/>
      </w:rPr>
      <w:pPr>
        <w:pBdr/>
        <w:spacing/>
        <w:ind/>
      </w:pPr>
      <w:tblPr>
        <w:tblBorders/>
      </w:tblPr>
      <w:tcPr>
        <w:tcBorders>
          <w:bottom w:val="single" w:color="4bacc6" w:themeColor="accent5" w:sz="12" w:space="0"/>
        </w:tcBorders>
      </w:tcPr>
    </w:tblStylePr>
    <w:tblStylePr w:type="lastCol">
      <w:rPr>
        <w:b/>
        <w:color w:val="266779" w:themeColor="accent5" w:themeShade="95"/>
      </w:rPr>
      <w:pPr>
        <w:pBdr/>
        <w:spacing/>
        <w:ind/>
      </w:pPr>
      <w:tblPr>
        <w:tblBorders/>
      </w:tblPr>
      <w:tcPr>
        <w:tcBorders/>
      </w:tcPr>
    </w:tblStylePr>
    <w:tblStylePr w:type="lastRow">
      <w:rPr>
        <w:b/>
        <w:color w:val="2667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name w:val="Grid Table 6 Colorful Accent 6"/>
    <w:basedOn w:val="956"/>
    <w:uiPriority w:val="99"/>
    <w:pPr>
      <w:pBdr/>
      <w:spacing/>
      <w:ind/>
    </w:pPr>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266779" w:themeColor="accent5" w:themeShade="95"/>
        <w:sz w:val="22"/>
      </w:rPr>
      <w:pPr>
        <w:pBdr/>
        <w:spacing/>
        <w:ind/>
      </w:pPr>
      <w:tblPr>
        <w:tblBorders/>
      </w:tblPr>
      <w:tcPr>
        <w:shd w:val="clear" w:color="fde9d8" w:themeColor="accent6" w:themeTint="34" w:fill="fde9d8" w:themeFill="accent6" w:themeFillTint="34"/>
        <w:tcBorders/>
      </w:tcPr>
    </w:tblStylePr>
    <w:tblStylePr w:type="band1Vert">
      <w:pPr>
        <w:pBdr/>
        <w:spacing/>
        <w:ind/>
      </w:pPr>
      <w:tblPr>
        <w:tblBorders/>
      </w:tblPr>
      <w:tcPr>
        <w:shd w:val="clear" w:color="fde9d8" w:themeColor="accent6" w:themeTint="34" w:fill="fde9d8" w:themeFill="accent6" w:themeFillTint="34"/>
        <w:tcBorders/>
      </w:tcPr>
    </w:tblStylePr>
    <w:tblStylePr w:type="band2Horz">
      <w:rPr>
        <w:rFonts w:ascii="Arial" w:hAnsi="Arial"/>
        <w:color w:val="2667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9" w:themeColor="accent5" w:themeShade="95"/>
      </w:rPr>
      <w:pPr>
        <w:pBdr/>
        <w:spacing/>
        <w:ind/>
      </w:pPr>
      <w:tblPr>
        <w:tblBorders/>
      </w:tblPr>
      <w:tcPr>
        <w:tcBorders/>
      </w:tcPr>
    </w:tblStylePr>
    <w:tblStylePr w:type="firstRow">
      <w:rPr>
        <w:b/>
        <w:color w:val="266779" w:themeColor="accent5" w:themeShade="95"/>
      </w:rPr>
      <w:pPr>
        <w:pBdr/>
        <w:spacing/>
        <w:ind/>
      </w:pPr>
      <w:tblPr>
        <w:tblBorders/>
      </w:tblPr>
      <w:tcPr>
        <w:tcBorders>
          <w:bottom w:val="single" w:color="f79646" w:themeColor="accent6" w:sz="12" w:space="0"/>
        </w:tcBorders>
      </w:tcPr>
    </w:tblStylePr>
    <w:tblStylePr w:type="lastCol">
      <w:rPr>
        <w:b/>
        <w:color w:val="266779" w:themeColor="accent5" w:themeShade="95"/>
      </w:rPr>
      <w:pPr>
        <w:pBdr/>
        <w:spacing/>
        <w:ind/>
      </w:pPr>
      <w:tblPr>
        <w:tblBorders/>
      </w:tblPr>
      <w:tcPr>
        <w:tcBorders/>
      </w:tcPr>
    </w:tblStylePr>
    <w:tblStylePr w:type="lastRow">
      <w:rPr>
        <w:b/>
        <w:color w:val="2667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name w:val="Grid Table 7 Colorful"/>
    <w:basedOn w:val="956"/>
    <w:uiPriority w:val="99"/>
    <w:pPr>
      <w:pBdr/>
      <w:spacing/>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7">
    <w:name w:val="Grid Table 7 Colorful Accent 1"/>
    <w:basedOn w:val="956"/>
    <w:uiPriority w:val="99"/>
    <w:pPr>
      <w:pBdr/>
      <w:spacing/>
      <w:ind/>
    </w:pPr>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cPr>
      <w:tcBorders/>
    </w:tcPr>
    <w:tblStylePr w:type="band1Horz">
      <w:rPr>
        <w:rFonts w:ascii="Arial" w:hAnsi="Arial"/>
        <w:color w:val="a6bfdd" w:themeColor="accent1" w:themeTint="80" w:themeShade="95"/>
        <w:sz w:val="22"/>
      </w:rPr>
      <w:pPr>
        <w:pBdr/>
        <w:spacing/>
        <w:ind/>
      </w:pPr>
      <w:tblPr>
        <w:tblBorders/>
      </w:tblPr>
      <w:tcPr>
        <w:shd w:val="clear" w:color="dae5f1" w:themeColor="accent1" w:themeTint="34" w:fill="dae5f1" w:themeFill="accent1" w:themeFillTint="34"/>
        <w:tcBorders/>
      </w:tcPr>
    </w:tblStylePr>
    <w:tblStylePr w:type="band1Vert">
      <w:pPr>
        <w:pBdr/>
        <w:spacing/>
        <w:ind/>
      </w:pPr>
      <w:tblPr>
        <w:tblBorders/>
      </w:tblPr>
      <w:tcPr>
        <w:shd w:val="clear" w:color="dae5f1" w:themeColor="accent1" w:themeTint="34" w:fill="dae5f1" w:themeFill="accent1" w:themeFillTint="34"/>
        <w:tcBorders/>
      </w:tcPr>
    </w:tblStylePr>
    <w:tblStylePr w:type="band2Horz">
      <w:rPr>
        <w:rFonts w:ascii="Arial" w:hAnsi="Arial"/>
        <w:color w:val="a6bfd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6bfdd" w:themeColor="accen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pPr>
        <w:pBdr/>
        <w:spacing/>
        <w:ind/>
      </w:pPr>
      <w:tblPr>
        <w:tblBorders/>
      </w:tbl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pPr>
        <w:pBdr/>
        <w:spacing/>
        <w:ind/>
      </w:pPr>
      <w:tblPr>
        <w:tblBorders/>
      </w:tbl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8">
    <w:name w:val="Grid Table 7 Colorful Accent 2"/>
    <w:basedOn w:val="956"/>
    <w:uiPriority w:val="99"/>
    <w:pPr>
      <w:pBdr/>
      <w:spacing/>
      <w:ind/>
    </w:pPr>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cPr>
      <w:tcBorders/>
    </w:tcPr>
    <w:tblStylePr w:type="band1Horz">
      <w:rPr>
        <w:rFonts w:ascii="Arial" w:hAnsi="Arial"/>
        <w:color w:val="d99695" w:themeColor="accent2" w:themeTint="97" w:themeShade="95"/>
        <w:sz w:val="22"/>
      </w:rPr>
      <w:pPr>
        <w:pBdr/>
        <w:spacing/>
        <w:ind/>
      </w:pPr>
      <w:tblPr>
        <w:tblBorders/>
      </w:tblPr>
      <w:tcPr>
        <w:shd w:val="clear" w:color="f2dcdc" w:themeColor="accent2" w:themeTint="32" w:fill="f2dcdc" w:themeFill="accent2" w:themeFillTint="32"/>
        <w:tcBorders/>
      </w:tcPr>
    </w:tblStylePr>
    <w:tblStylePr w:type="band1Vert">
      <w:pPr>
        <w:pBdr/>
        <w:spacing/>
        <w:ind/>
      </w:pPr>
      <w:tblPr>
        <w:tblBorders/>
      </w:tblPr>
      <w:tcPr>
        <w:shd w:val="clear" w:color="f2dcdc" w:themeColor="accent2" w:themeTint="32" w:fill="f2dcdc" w:themeFill="accent2" w:themeFillTint="32"/>
        <w:tcBorders/>
      </w:tcPr>
    </w:tblStylePr>
    <w:tblStylePr w:type="band2Horz">
      <w:rPr>
        <w:rFonts w:ascii="Arial" w:hAnsi="Arial"/>
        <w:color w:val="d9969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9695" w:themeColor="accent2" w:themeTint="97"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pPr>
        <w:pBdr/>
        <w:spacing/>
        <w:ind/>
      </w:pPr>
      <w:tblPr>
        <w:tblBorders/>
      </w:tbl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pPr>
        <w:pBdr/>
        <w:spacing/>
        <w:ind/>
      </w:pPr>
      <w:tblPr>
        <w:tblBorders/>
      </w:tbl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name w:val="Grid Table 7 Colorful Accent 3"/>
    <w:basedOn w:val="956"/>
    <w:uiPriority w:val="99"/>
    <w:pPr>
      <w:pBdr/>
      <w:spacing/>
      <w:ind/>
    </w:pPr>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cPr>
      <w:tcBorders/>
    </w:tcPr>
    <w:tblStylePr w:type="band1Horz">
      <w:rPr>
        <w:rFonts w:ascii="Arial" w:hAnsi="Arial"/>
        <w:color w:val="9abb59" w:themeColor="accent3" w:themeTint="FE" w:themeShade="95"/>
        <w:sz w:val="22"/>
      </w:rPr>
      <w:pPr>
        <w:pBdr/>
        <w:spacing/>
        <w:ind/>
      </w:pPr>
      <w:tblPr>
        <w:tblBorders/>
      </w:tblPr>
      <w:tcPr>
        <w:shd w:val="clear" w:color="eaf1dc" w:themeColor="accent3" w:themeTint="34" w:fill="eaf1dc" w:themeFill="accent3" w:themeFillTint="34"/>
        <w:tcBorders/>
      </w:tcPr>
    </w:tblStylePr>
    <w:tblStylePr w:type="band1Vert">
      <w:pPr>
        <w:pBdr/>
        <w:spacing/>
        <w:ind/>
      </w:pPr>
      <w:tblPr>
        <w:tblBorders/>
      </w:tblPr>
      <w:tcPr>
        <w:shd w:val="clear" w:color="eaf1dc" w:themeColor="accent3" w:themeTint="34" w:fill="eaf1dc" w:themeFill="accent3" w:themeFillTint="34"/>
        <w:tcBorders/>
      </w:tcPr>
    </w:tblStylePr>
    <w:tblStylePr w:type="band2Horz">
      <w:rPr>
        <w:rFonts w:ascii="Arial" w:hAnsi="Arial"/>
        <w:color w:val="9abb59"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abb59" w:themeColor="accent3" w:themeTint="FE"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pPr>
        <w:pBdr/>
        <w:spacing/>
        <w:ind/>
      </w:pPr>
      <w:tblPr>
        <w:tblBorders/>
      </w:tbl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pPr>
        <w:pBdr/>
        <w:spacing/>
        <w:ind/>
      </w:pPr>
      <w:tblPr>
        <w:tblBorders/>
      </w:tbl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name w:val="Grid Table 7 Colorful Accent 4"/>
    <w:basedOn w:val="956"/>
    <w:uiPriority w:val="99"/>
    <w:pPr>
      <w:pBdr/>
      <w:spacing/>
      <w:ind/>
    </w:pPr>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b2a1c6" w:themeColor="accent4" w:themeTint="9A" w:themeShade="95"/>
        <w:sz w:val="22"/>
      </w:rPr>
      <w:pPr>
        <w:pBdr/>
        <w:spacing/>
        <w:ind/>
      </w:pPr>
      <w:tblPr>
        <w:tblBorders/>
      </w:tblPr>
      <w:tcPr>
        <w:shd w:val="clear" w:color="e5dfec" w:themeColor="accent4" w:themeTint="34" w:fill="e5dfec" w:themeFill="accent4" w:themeFillTint="34"/>
        <w:tcBorders/>
      </w:tcPr>
    </w:tblStylePr>
    <w:tblStylePr w:type="band1Vert">
      <w:pPr>
        <w:pBdr/>
        <w:spacing/>
        <w:ind/>
      </w:pPr>
      <w:tblPr>
        <w:tblBorders/>
      </w:tblPr>
      <w:tcPr>
        <w:shd w:val="clear" w:color="e5dfec" w:themeColor="accent4" w:themeTint="34" w:fill="e5dfec" w:themeFill="accent4" w:themeFillTint="34"/>
        <w:tcBorders/>
      </w:tcPr>
    </w:tblStylePr>
    <w:tblStylePr w:type="band2Horz">
      <w:rPr>
        <w:rFonts w:ascii="Arial" w:hAnsi="Arial"/>
        <w:color w:val="b2a1c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a1c6" w:themeColor="accent4"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pPr>
        <w:pBdr/>
        <w:spacing/>
        <w:ind/>
      </w:pPr>
      <w:tblPr>
        <w:tblBorders/>
      </w:tbl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pPr>
        <w:pBdr/>
        <w:spacing/>
        <w:ind/>
      </w:pPr>
      <w:tblPr>
        <w:tblBorders/>
      </w:tbl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name w:val="Grid Table 7 Colorful Accent 5"/>
    <w:basedOn w:val="956"/>
    <w:uiPriority w:val="99"/>
    <w:pPr>
      <w:pBdr/>
      <w:spacing/>
      <w:ind/>
    </w:pPr>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cPr>
      <w:tcBorders/>
    </w:tcPr>
    <w:tblStylePr w:type="band1Horz">
      <w:rPr>
        <w:rFonts w:ascii="Arial" w:hAnsi="Arial"/>
        <w:color w:val="266779" w:themeColor="accent5" w:themeShade="95"/>
        <w:sz w:val="22"/>
      </w:rPr>
      <w:pPr>
        <w:pBdr/>
        <w:spacing/>
        <w:ind/>
      </w:pPr>
      <w:tblPr>
        <w:tblBorders/>
      </w:tblPr>
      <w:tcPr>
        <w:shd w:val="clear" w:color="daeef3" w:themeColor="accent5" w:themeTint="34" w:fill="daeef3" w:themeFill="accent5" w:themeFillTint="34"/>
        <w:tcBorders/>
      </w:tcPr>
    </w:tblStylePr>
    <w:tblStylePr w:type="band1Vert">
      <w:pPr>
        <w:pBdr/>
        <w:spacing/>
        <w:ind/>
      </w:pPr>
      <w:tblPr>
        <w:tblBorders/>
      </w:tblPr>
      <w:tcPr>
        <w:shd w:val="clear" w:color="daeef3" w:themeColor="accent5" w:themeTint="34" w:fill="daeef3" w:themeFill="accent5" w:themeFillTint="34"/>
        <w:tcBorders/>
      </w:tcPr>
    </w:tblStylePr>
    <w:tblStylePr w:type="band2Horz">
      <w:rPr>
        <w:rFonts w:ascii="Arial" w:hAnsi="Arial"/>
        <w:color w:val="2667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9" w:themeColor="accent5"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pPr>
        <w:pBdr/>
        <w:spacing/>
        <w:ind/>
      </w:pPr>
      <w:tblPr>
        <w:tblBorders/>
      </w:tbl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pPr>
        <w:pBdr/>
        <w:spacing/>
        <w:ind/>
      </w:pPr>
      <w:tblPr>
        <w:tblBorders/>
      </w:tbl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name w:val="Grid Table 7 Colorful Accent 6"/>
    <w:basedOn w:val="956"/>
    <w:uiPriority w:val="99"/>
    <w:pPr>
      <w:pBdr/>
      <w:spacing/>
      <w:ind/>
    </w:pPr>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cPr>
      <w:tcBorders/>
    </w:tcPr>
    <w:tblStylePr w:type="band1Horz">
      <w:rPr>
        <w:rFonts w:ascii="Arial" w:hAnsi="Arial"/>
        <w:color w:val="b15407" w:themeColor="accent6" w:themeShade="95"/>
        <w:sz w:val="22"/>
      </w:rPr>
      <w:pPr>
        <w:pBdr/>
        <w:spacing/>
        <w:ind/>
      </w:pPr>
      <w:tblPr>
        <w:tblBorders/>
      </w:tblPr>
      <w:tcPr>
        <w:shd w:val="clear" w:color="fde9d8" w:themeColor="accent6" w:themeTint="34" w:fill="fde9d8" w:themeFill="accent6" w:themeFillTint="34"/>
        <w:tcBorders/>
      </w:tcPr>
    </w:tblStylePr>
    <w:tblStylePr w:type="band1Vert">
      <w:pPr>
        <w:pBdr/>
        <w:spacing/>
        <w:ind/>
      </w:pPr>
      <w:tblPr>
        <w:tblBorders/>
      </w:tblPr>
      <w:tcPr>
        <w:shd w:val="clear" w:color="fde9d8" w:themeColor="accent6" w:themeTint="34" w:fill="fde9d8" w:themeFill="accent6" w:themeFillTint="34"/>
        <w:tcBorders/>
      </w:tcPr>
    </w:tblStylePr>
    <w:tblStylePr w:type="band2Horz">
      <w:rPr>
        <w:rFonts w:ascii="Arial" w:hAnsi="Arial"/>
        <w:color w:val="b154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15407" w:themeColor="accent6"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pPr>
        <w:pBdr/>
        <w:spacing/>
        <w:ind/>
      </w:pPr>
      <w:tblPr>
        <w:tblBorders/>
      </w:tbl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pPr>
        <w:pBdr/>
        <w:spacing/>
        <w:ind/>
      </w:pPr>
      <w:tblPr>
        <w:tblBorders/>
      </w:tbl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name w:val="List Table 1 Light"/>
    <w:basedOn w:val="956"/>
    <w:uiPriority w:val="99"/>
    <w:pPr>
      <w:pBdr/>
      <w:spacing/>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name w:val="List Table 1 Light Accent 1"/>
    <w:basedOn w:val="956"/>
    <w:uiPriority w:val="99"/>
    <w:pPr>
      <w:pBdr/>
      <w:spacing/>
      <w:ind/>
    </w:pPr>
    <w:tblPr>
      <w:tblStyleRowBandSize w:val="1"/>
      <w:tblStyleColBandSize w:val="1"/>
      <w:tblBorders/>
    </w:tblPr>
    <w:tcPr>
      <w:tcBorders/>
    </w:tcPr>
    <w:tblStylePr w:type="band1Horz">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f81bd"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name w:val="List Table 1 Light Accent 2"/>
    <w:basedOn w:val="956"/>
    <w:uiPriority w:val="99"/>
    <w:pPr>
      <w:pBdr/>
      <w:spacing/>
      <w:ind/>
    </w:pPr>
    <w:tblPr>
      <w:tblStyleRowBandSize w:val="1"/>
      <w:tblStyleColBandSize w:val="1"/>
      <w:tblBorders/>
    </w:tblPr>
    <w:tcPr>
      <w:tcBorders/>
    </w:tcPr>
    <w:tblStylePr w:type="band1Horz">
      <w:pPr>
        <w:pBdr/>
        <w:spacing/>
        <w:ind/>
      </w:pPr>
      <w:tblPr>
        <w:tblBorders/>
      </w:tblPr>
      <w:tcPr>
        <w:shd w:val="clear" w:color="efd2d2" w:themeColor="accent2" w:themeTint="40" w:fill="efd2d2" w:themeFill="accent2" w:themeFillTint="40"/>
        <w:tcBorders/>
      </w:tcPr>
    </w:tblStylePr>
    <w:tblStylePr w:type="band1Vert">
      <w:pPr>
        <w:pBdr/>
        <w:spacing/>
        <w:ind/>
      </w:pPr>
      <w:tblPr>
        <w:tblBorders/>
      </w:tblPr>
      <w:tcPr>
        <w:shd w:val="clear" w:color="efd2d2" w:themeColor="accent2" w:themeTint="40" w:fill="efd2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c0504d"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name w:val="List Table 1 Light Accent 3"/>
    <w:basedOn w:val="956"/>
    <w:uiPriority w:val="99"/>
    <w:pPr>
      <w:pBdr/>
      <w:spacing/>
      <w:ind/>
    </w:pPr>
    <w:tblPr>
      <w:tblStyleRowBandSize w:val="1"/>
      <w:tblStyleColBandSize w:val="1"/>
      <w:tblBorders/>
    </w:tblPr>
    <w:tcPr>
      <w:tcBorders/>
    </w:tcPr>
    <w:tblStylePr w:type="band1Horz">
      <w:pPr>
        <w:pBdr/>
        <w:spacing/>
        <w:ind/>
      </w:pPr>
      <w:tblPr>
        <w:tblBorders/>
      </w:tblPr>
      <w:tcPr>
        <w:shd w:val="clear" w:color="e5eed5" w:themeColor="accent3" w:themeTint="40" w:fill="e5eed5" w:themeFill="accent3" w:themeFillTint="40"/>
        <w:tcBorders/>
      </w:tcPr>
    </w:tblStylePr>
    <w:tblStylePr w:type="band1Vert">
      <w:pPr>
        <w:pBdr/>
        <w:spacing/>
        <w:ind/>
      </w:pPr>
      <w:tblPr>
        <w:tblBorders/>
      </w:tblPr>
      <w:tcPr>
        <w:shd w:val="clear" w:color="e5eed5" w:themeColor="accent3" w:themeTint="40" w:fill="e5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9bbb59"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name w:val="List Table 1 Light Accent 4"/>
    <w:basedOn w:val="956"/>
    <w:uiPriority w:val="99"/>
    <w:pPr>
      <w:pBdr/>
      <w:spacing/>
      <w:ind/>
    </w:pPr>
    <w:tblPr>
      <w:tblStyleRowBandSize w:val="1"/>
      <w:tblStyleColBandSize w:val="1"/>
      <w:tblBorders/>
    </w:tblPr>
    <w:tcPr>
      <w:tcBorders/>
    </w:tcPr>
    <w:tblStylePr w:type="band1Horz">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8064a2"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name w:val="List Table 1 Light Accent 5"/>
    <w:basedOn w:val="956"/>
    <w:uiPriority w:val="99"/>
    <w:pPr>
      <w:pBdr/>
      <w:spacing/>
      <w:ind/>
    </w:pPr>
    <w:tblPr>
      <w:tblStyleRowBandSize w:val="1"/>
      <w:tblStyleColBandSize w:val="1"/>
      <w:tblBorders/>
    </w:tblPr>
    <w:tcPr>
      <w:tcBorders/>
    </w:tcPr>
    <w:tblStylePr w:type="band1Horz">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bacc6"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name w:val="List Table 1 Light Accent 6"/>
    <w:basedOn w:val="956"/>
    <w:uiPriority w:val="99"/>
    <w:pPr>
      <w:pBdr/>
      <w:spacing/>
      <w:ind/>
    </w:pPr>
    <w:tblPr>
      <w:tblStyleRowBandSize w:val="1"/>
      <w:tblStyleColBandSize w:val="1"/>
      <w:tblBorders/>
    </w:tblPr>
    <w:tcPr>
      <w:tcBorders/>
    </w:tcPr>
    <w:tblStylePr w:type="band1Horz">
      <w:pPr>
        <w:pBdr/>
        <w:spacing/>
        <w:ind/>
      </w:pPr>
      <w:tblPr>
        <w:tblBorders/>
      </w:tblPr>
      <w:tcPr>
        <w:shd w:val="clear" w:color="fde4d0" w:themeColor="accent6" w:themeTint="40" w:fill="fde4d0" w:themeFill="accent6" w:themeFillTint="40"/>
        <w:tcBorders/>
      </w:tcPr>
    </w:tblStylePr>
    <w:tblStylePr w:type="band1Vert">
      <w:pPr>
        <w:pBdr/>
        <w:spacing/>
        <w:ind/>
      </w:pPr>
      <w:tblPr>
        <w:tblBorders/>
      </w:tblPr>
      <w:tcPr>
        <w:shd w:val="clear" w:color="fde4d0" w:themeColor="accent6" w:themeTint="40" w:fill="fd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79646"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name w:val="List Table 2"/>
    <w:basedOn w:val="956"/>
    <w:uiPriority w:val="99"/>
    <w:pPr>
      <w:pBdr/>
      <w:spacing/>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name w:val="List Table 2 Accent 1"/>
    <w:basedOn w:val="956"/>
    <w:uiPriority w:val="99"/>
    <w:pPr>
      <w:pBdr/>
      <w:spacing/>
      <w:ind/>
    </w:pPr>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1Vert">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name w:val="List Table 2 Accent 2"/>
    <w:basedOn w:val="956"/>
    <w:uiPriority w:val="99"/>
    <w:pPr>
      <w:pBdr/>
      <w:spacing/>
      <w:ind/>
    </w:pPr>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cPr>
      <w:tcBorders/>
    </w:tcPr>
    <w:tblStylePr w:type="band1Horz">
      <w:rPr>
        <w:rFonts w:ascii="Arial" w:hAnsi="Arial"/>
        <w:color w:val="404040"/>
        <w:sz w:val="22"/>
      </w:rPr>
      <w:pPr>
        <w:pBdr/>
        <w:spacing/>
        <w:ind/>
      </w:pPr>
      <w:tblPr>
        <w:tblBorders/>
      </w:tblPr>
      <w:tcPr>
        <w:shd w:val="clear" w:color="efd2d2" w:themeColor="accent2" w:themeTint="40" w:fill="efd2d2" w:themeFill="accent2" w:themeFillTint="40"/>
        <w:tcBorders/>
      </w:tcPr>
    </w:tblStylePr>
    <w:tblStylePr w:type="band1Vert">
      <w:rPr>
        <w:rFonts w:ascii="Arial" w:hAnsi="Arial"/>
        <w:color w:val="404040"/>
        <w:sz w:val="22"/>
      </w:rPr>
      <w:pPr>
        <w:pBdr/>
        <w:spacing/>
        <w:ind/>
      </w:pPr>
      <w:tblPr>
        <w:tblBorders/>
      </w:tblPr>
      <w:tcPr>
        <w:shd w:val="clear" w:color="efd2d2" w:themeColor="accent2" w:themeTint="40" w:fill="efd2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name w:val="List Table 2 Accent 3"/>
    <w:basedOn w:val="956"/>
    <w:uiPriority w:val="99"/>
    <w:pPr>
      <w:pBdr/>
      <w:spacing/>
      <w:ind/>
    </w:pPr>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5eed5" w:themeColor="accent3" w:themeTint="40" w:fill="e5eed5" w:themeFill="accent3" w:themeFillTint="40"/>
        <w:tcBorders/>
      </w:tcPr>
    </w:tblStylePr>
    <w:tblStylePr w:type="band1Vert">
      <w:rPr>
        <w:rFonts w:ascii="Arial" w:hAnsi="Arial"/>
        <w:color w:val="404040"/>
        <w:sz w:val="22"/>
      </w:rPr>
      <w:pPr>
        <w:pBdr/>
        <w:spacing/>
        <w:ind/>
      </w:pPr>
      <w:tblPr>
        <w:tblBorders/>
      </w:tblPr>
      <w:tcPr>
        <w:shd w:val="clear" w:color="e5eed5" w:themeColor="accent3" w:themeTint="40" w:fill="e5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name w:val="List Table 2 Accent 4"/>
    <w:basedOn w:val="956"/>
    <w:uiPriority w:val="99"/>
    <w:pPr>
      <w:pBdr/>
      <w:spacing/>
      <w:ind/>
    </w:pPr>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name w:val="List Table 2 Accent 5"/>
    <w:basedOn w:val="956"/>
    <w:uiPriority w:val="99"/>
    <w:pPr>
      <w:pBdr/>
      <w:spacing/>
      <w:ind/>
    </w:pPr>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name w:val="List Table 2 Accent 6"/>
    <w:basedOn w:val="956"/>
    <w:uiPriority w:val="99"/>
    <w:pPr>
      <w:pBdr/>
      <w:spacing/>
      <w:ind/>
    </w:pPr>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de4d0" w:themeColor="accent6" w:themeTint="40" w:fill="fde4d0" w:themeFill="accent6" w:themeFillTint="40"/>
        <w:tcBorders/>
      </w:tcPr>
    </w:tblStylePr>
    <w:tblStylePr w:type="band1Vert">
      <w:rPr>
        <w:rFonts w:ascii="Arial" w:hAnsi="Arial"/>
        <w:color w:val="404040"/>
        <w:sz w:val="22"/>
      </w:rPr>
      <w:pPr>
        <w:pBdr/>
        <w:spacing/>
        <w:ind/>
      </w:pPr>
      <w:tblPr>
        <w:tblBorders/>
      </w:tblPr>
      <w:tcPr>
        <w:shd w:val="clear" w:color="fde4d0" w:themeColor="accent6" w:themeTint="40" w:fill="fd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name w:val="List Table 3"/>
    <w:basedOn w:val="956"/>
    <w:uiPriority w:val="99"/>
    <w:pPr>
      <w:pBdr/>
      <w:spacing/>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name w:val="List Table 3 Accent 1"/>
    <w:basedOn w:val="956"/>
    <w:uiPriority w:val="99"/>
    <w:pPr>
      <w:pBdr/>
      <w:spacing/>
      <w:ind/>
    </w:pPr>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cPr>
      <w:tcBorders/>
    </w:tcPr>
    <w:tblStylePr w:type="band1Horz">
      <w:rPr>
        <w:rFonts w:ascii="Arial" w:hAnsi="Arial"/>
        <w:color w:val="404040"/>
        <w:sz w:val="22"/>
      </w:rPr>
      <w:pPr>
        <w:pBdr/>
        <w:spacing/>
        <w:ind/>
      </w:pPr>
      <w:tblPr>
        <w:tblBorders/>
      </w:tblPr>
      <w:tcPr>
        <w:tcBorders>
          <w:top w:val="single" w:color="4f81bd" w:themeColor="accent1" w:sz="4" w:space="0"/>
          <w:bottom w:val="single" w:color="4f81bd" w:themeColor="accent1" w:sz="4" w:space="0"/>
        </w:tcBorders>
      </w:tcPr>
    </w:tblStylePr>
    <w:tblStylePr w:type="band1Vert">
      <w:rPr>
        <w:rFonts w:ascii="Arial" w:hAnsi="Arial"/>
        <w:color w:val="404040"/>
        <w:sz w:val="22"/>
      </w:rPr>
      <w:pPr>
        <w:pBdr/>
        <w:spacing/>
        <w:ind/>
      </w:pPr>
      <w:tblPr>
        <w:tblBorders/>
      </w:tblPr>
      <w:tcPr>
        <w:tcBorders>
          <w:left w:val="single" w:color="4f81bd" w:themeColor="accent1" w:sz="4" w:space="0"/>
          <w:right w:val="single" w:color="4f81bd"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name w:val="List Table 3 Accent 2"/>
    <w:basedOn w:val="956"/>
    <w:uiPriority w:val="99"/>
    <w:pPr>
      <w:pBdr/>
      <w:spacing/>
      <w:ind/>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pPr>
        <w:pBdr/>
        <w:spacing/>
        <w:ind/>
      </w:pPr>
      <w:tblPr>
        <w:tblBorders/>
      </w:tblPr>
      <w:tcPr>
        <w:tcBorders>
          <w:left w:val="single" w:color="d99695" w:themeColor="accent2" w:themeTint="97" w:sz="4" w:space="0"/>
          <w:right w:val="single" w:color="d99695"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d99695" w:themeColor="accent2" w:themeTint="97" w:fill="d9969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name w:val="List Table 3 Accent 3"/>
    <w:basedOn w:val="956"/>
    <w:uiPriority w:val="99"/>
    <w:pPr>
      <w:pBdr/>
      <w:spacing/>
      <w:ind/>
    </w:pPr>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pPr>
        <w:pBdr/>
        <w:spacing/>
        <w:ind/>
      </w:pPr>
      <w:tblPr>
        <w:tblBorders/>
      </w:tblPr>
      <w:tcPr>
        <w:tcBorders>
          <w:left w:val="single" w:color="c3d69b" w:themeColor="accent3" w:themeTint="98" w:sz="4" w:space="0"/>
          <w:right w:val="single" w:color="c3d69b"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3d69b"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name w:val="List Table 3 Accent 4"/>
    <w:basedOn w:val="956"/>
    <w:uiPriority w:val="99"/>
    <w:pPr>
      <w:pBdr/>
      <w:spacing/>
      <w:ind/>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pPr>
        <w:pBdr/>
        <w:spacing/>
        <w:ind/>
      </w:pPr>
      <w:tblPr>
        <w:tblBorders/>
      </w:tblPr>
      <w:tcPr>
        <w:tcBorders>
          <w:left w:val="single" w:color="b2a1c6" w:themeColor="accent4" w:themeTint="9A" w:sz="4" w:space="0"/>
          <w:right w:val="single" w:color="b2a1c6"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b2a1c6"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name w:val="List Table 3 Accent 5"/>
    <w:basedOn w:val="956"/>
    <w:uiPriority w:val="99"/>
    <w:pPr>
      <w:pBdr/>
      <w:spacing/>
      <w:ind/>
    </w:pPr>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pPr>
        <w:pBdr/>
        <w:spacing/>
        <w:ind/>
      </w:pPr>
      <w:tblPr>
        <w:tblBorders/>
      </w:tblPr>
      <w:tcPr>
        <w:tcBorders>
          <w:left w:val="single" w:color="92ccdc" w:themeColor="accent5" w:themeTint="9A" w:sz="4" w:space="0"/>
          <w:right w:val="single" w:color="92ccdc"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2ccdc" w:themeColor="accent5" w:themeTint="9A" w:fill="92cc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name w:val="List Table 3 Accent 6"/>
    <w:basedOn w:val="956"/>
    <w:uiPriority w:val="99"/>
    <w:pPr>
      <w:pBdr/>
      <w:spacing/>
      <w:ind/>
    </w:pPr>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pPr>
        <w:pBdr/>
        <w:spacing/>
        <w:ind/>
      </w:pPr>
      <w:tblPr>
        <w:tblBorders/>
      </w:tblPr>
      <w:tcPr>
        <w:tcBorders>
          <w:left w:val="single" w:color="fac090" w:themeColor="accent6" w:themeTint="98" w:sz="4" w:space="0"/>
          <w:right w:val="single" w:color="fac09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ac090" w:themeColor="accent6" w:themeTint="98" w:fill="fac0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name w:val="List Table 4"/>
    <w:basedOn w:val="956"/>
    <w:uiPriority w:val="99"/>
    <w:pPr>
      <w:pBdr/>
      <w:spacing/>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name w:val="List Table 4 Accent 1"/>
    <w:basedOn w:val="956"/>
    <w:uiPriority w:val="99"/>
    <w:pPr>
      <w:pBdr/>
      <w:spacing/>
      <w:ind/>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1Vert">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name w:val="List Table 4 Accent 2"/>
    <w:basedOn w:val="956"/>
    <w:uiPriority w:val="99"/>
    <w:pPr>
      <w:pBdr/>
      <w:spacing/>
      <w:ind/>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cPr>
      <w:tcBorders/>
    </w:tcPr>
    <w:tblStylePr w:type="band1Horz">
      <w:rPr>
        <w:rFonts w:ascii="Arial" w:hAnsi="Arial"/>
        <w:color w:val="404040"/>
        <w:sz w:val="22"/>
      </w:rPr>
      <w:pPr>
        <w:pBdr/>
        <w:spacing/>
        <w:ind/>
      </w:pPr>
      <w:tblPr>
        <w:tblBorders/>
      </w:tblPr>
      <w:tcPr>
        <w:shd w:val="clear" w:color="efd2d2" w:themeColor="accent2" w:themeTint="40" w:fill="efd2d2" w:themeFill="accent2" w:themeFillTint="40"/>
        <w:tcBorders/>
      </w:tcPr>
    </w:tblStylePr>
    <w:tblStylePr w:type="band1Vert">
      <w:rPr>
        <w:rFonts w:ascii="Arial" w:hAnsi="Arial"/>
        <w:color w:val="404040"/>
        <w:sz w:val="22"/>
      </w:rPr>
      <w:pPr>
        <w:pBdr/>
        <w:spacing/>
        <w:ind/>
      </w:pPr>
      <w:tblPr>
        <w:tblBorders/>
      </w:tblPr>
      <w:tcPr>
        <w:shd w:val="clear" w:color="efd2d2" w:themeColor="accent2" w:themeTint="40" w:fill="efd2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0504d"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name w:val="List Table 4 Accent 3"/>
    <w:basedOn w:val="956"/>
    <w:uiPriority w:val="99"/>
    <w:pPr>
      <w:pBdr/>
      <w:spacing/>
      <w:ind/>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5eed5" w:themeColor="accent3" w:themeTint="40" w:fill="e5eed5" w:themeFill="accent3" w:themeFillTint="40"/>
        <w:tcBorders/>
      </w:tcPr>
    </w:tblStylePr>
    <w:tblStylePr w:type="band1Vert">
      <w:rPr>
        <w:rFonts w:ascii="Arial" w:hAnsi="Arial"/>
        <w:color w:val="404040"/>
        <w:sz w:val="22"/>
      </w:rPr>
      <w:pPr>
        <w:pBdr/>
        <w:spacing/>
        <w:ind/>
      </w:pPr>
      <w:tblPr>
        <w:tblBorders/>
      </w:tblPr>
      <w:tcPr>
        <w:shd w:val="clear" w:color="e5eed5" w:themeColor="accent3" w:themeTint="40" w:fill="e5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bbb59"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name w:val="List Table 4 Accent 4"/>
    <w:basedOn w:val="956"/>
    <w:uiPriority w:val="99"/>
    <w:pPr>
      <w:pBdr/>
      <w:spacing/>
      <w:ind/>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064a2"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name w:val="List Table 4 Accent 5"/>
    <w:basedOn w:val="956"/>
    <w:uiPriority w:val="99"/>
    <w:pPr>
      <w:pBdr/>
      <w:spacing/>
      <w:ind/>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0">
    <w:name w:val="List Table 4 Accent 6"/>
    <w:basedOn w:val="956"/>
    <w:uiPriority w:val="99"/>
    <w:pPr>
      <w:pBdr/>
      <w:spacing/>
      <w:ind/>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de4d0" w:themeColor="accent6" w:themeTint="40" w:fill="fde4d0" w:themeFill="accent6" w:themeFillTint="40"/>
        <w:tcBorders/>
      </w:tcPr>
    </w:tblStylePr>
    <w:tblStylePr w:type="band1Vert">
      <w:rPr>
        <w:rFonts w:ascii="Arial" w:hAnsi="Arial"/>
        <w:color w:val="404040"/>
        <w:sz w:val="22"/>
      </w:rPr>
      <w:pPr>
        <w:pBdr/>
        <w:spacing/>
        <w:ind/>
      </w:pPr>
      <w:tblPr>
        <w:tblBorders/>
      </w:tblPr>
      <w:tcPr>
        <w:shd w:val="clear" w:color="fde4d0" w:themeColor="accent6" w:themeTint="40" w:fill="fd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1">
    <w:name w:val="List Table 5 Dark"/>
    <w:basedOn w:val="956"/>
    <w:uiPriority w:val="99"/>
    <w:pPr>
      <w:pBdr/>
      <w:spacing/>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name w:val="List Table 5 Dark Accent 1"/>
    <w:basedOn w:val="956"/>
    <w:uiPriority w:val="99"/>
    <w:pPr>
      <w:pBdr/>
      <w:spacing/>
      <w:ind/>
    </w:pPr>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cPr>
      <w:tcBorders/>
    </w:tcPr>
    <w:tblStylePr w:type="band1Horz">
      <w:pPr>
        <w:pBdr/>
        <w:spacing/>
        <w:ind/>
      </w:pPr>
      <w:tblPr>
        <w:tblBorders/>
      </w:tblPr>
      <w:tcPr>
        <w:shd w:val="clear" w:color="4f81bd" w:themeColor="accent1" w:fill="4f81bd"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4f81bd" w:themeColor="accent1" w:fill="4f81bd"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4f81bd" w:themeColor="accent1" w:fill="4f81bd"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4f81bd" w:themeColor="accent1" w:fill="4f81bd" w:themeFill="accent1"/>
        <w:tcBorders>
          <w:top w:val="single" w:color="4f81bd"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name w:val="List Table 5 Dark Accent 2"/>
    <w:basedOn w:val="956"/>
    <w:uiPriority w:val="99"/>
    <w:pPr>
      <w:pBdr/>
      <w:spacing/>
      <w:ind/>
    </w:pPr>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cPr>
      <w:tcBorders/>
    </w:tcPr>
    <w:tblStylePr w:type="band1Horz">
      <w:pPr>
        <w:pBdr/>
        <w:spacing/>
        <w:ind/>
      </w:pPr>
      <w:tblPr>
        <w:tblBorders/>
      </w:tblPr>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4">
    <w:name w:val="List Table 5 Dark Accent 3"/>
    <w:basedOn w:val="956"/>
    <w:uiPriority w:val="99"/>
    <w:pPr>
      <w:pBdr/>
      <w:spacing/>
      <w:ind/>
    </w:pPr>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cPr>
      <w:tcBorders/>
    </w:tcPr>
    <w:tblStylePr w:type="band1Horz">
      <w:pPr>
        <w:pBdr/>
        <w:spacing/>
        <w:ind/>
      </w:pPr>
      <w:tblPr>
        <w:tblBorders/>
      </w:tblPr>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5">
    <w:name w:val="List Table 5 Dark Accent 4"/>
    <w:basedOn w:val="956"/>
    <w:uiPriority w:val="99"/>
    <w:pPr>
      <w:pBdr/>
      <w:spacing/>
      <w:ind/>
    </w:pPr>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cPr>
      <w:tcBorders/>
    </w:tcPr>
    <w:tblStylePr w:type="band1Horz">
      <w:pPr>
        <w:pBdr/>
        <w:spacing/>
        <w:ind/>
      </w:pPr>
      <w:tblPr>
        <w:tblBorders/>
      </w:tblPr>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6">
    <w:name w:val="List Table 5 Dark Accent 5"/>
    <w:basedOn w:val="956"/>
    <w:uiPriority w:val="99"/>
    <w:pPr>
      <w:pBdr/>
      <w:spacing/>
      <w:ind/>
    </w:pPr>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cPr>
      <w:tcBorders/>
    </w:tcPr>
    <w:tblStylePr w:type="band1Horz">
      <w:pPr>
        <w:pBdr/>
        <w:spacing/>
        <w:ind/>
      </w:pPr>
      <w:tblPr>
        <w:tblBorders/>
      </w:tblPr>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7">
    <w:name w:val="List Table 5 Dark Accent 6"/>
    <w:basedOn w:val="956"/>
    <w:uiPriority w:val="99"/>
    <w:pPr>
      <w:pBdr/>
      <w:spacing/>
      <w:ind/>
    </w:pPr>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cPr>
      <w:tcBorders/>
    </w:tcPr>
    <w:tblStylePr w:type="band1Horz">
      <w:pPr>
        <w:pBdr/>
        <w:spacing/>
        <w:ind/>
      </w:pPr>
      <w:tblPr>
        <w:tblBorders/>
      </w:tblPr>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8">
    <w:name w:val="List Table 6 Colorful"/>
    <w:basedOn w:val="956"/>
    <w:uiPriority w:val="99"/>
    <w:pPr>
      <w:pBdr/>
      <w:spacing/>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9">
    <w:name w:val="List Table 6 Colorful Accent 1"/>
    <w:basedOn w:val="956"/>
    <w:uiPriority w:val="99"/>
    <w:pPr>
      <w:pBdr/>
      <w:spacing/>
      <w:ind/>
    </w:pPr>
    <w:tblPr>
      <w:tblStyleRowBandSize w:val="1"/>
      <w:tblStyleColBandSize w:val="1"/>
      <w:tblBorders>
        <w:top w:val="single" w:color="4f81bd" w:themeColor="accent1" w:sz="4" w:space="0"/>
        <w:bottom w:val="single" w:color="4f81bd" w:themeColor="accent1" w:sz="4" w:space="0"/>
      </w:tblBorders>
    </w:tblPr>
    <w:tcPr>
      <w:tcBorders/>
    </w:tcPr>
    <w:tblStylePr w:type="band1Horz">
      <w:rPr>
        <w:rFonts w:ascii="Arial" w:hAnsi="Arial"/>
        <w:color w:val="2a4a71" w:themeColor="accent1" w:themeShade="95"/>
        <w:sz w:val="22"/>
      </w:rPr>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rPr>
        <w:rFonts w:ascii="Arial" w:hAnsi="Arial"/>
        <w:color w:val="2a4a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a71" w:themeColor="accent1" w:themeShade="95"/>
      </w:rPr>
      <w:pPr>
        <w:pBdr/>
        <w:spacing/>
        <w:ind/>
      </w:pPr>
      <w:tblPr>
        <w:tblBorders/>
      </w:tblPr>
      <w:tcPr>
        <w:tcBorders/>
      </w:tcPr>
    </w:tblStylePr>
    <w:tblStylePr w:type="firstRow">
      <w:rPr>
        <w:b/>
        <w:color w:val="2a4a71" w:themeColor="accent1" w:themeShade="95"/>
      </w:rPr>
      <w:pPr>
        <w:pBdr/>
        <w:spacing/>
        <w:ind/>
      </w:pPr>
      <w:tblPr>
        <w:tblBorders/>
      </w:tblPr>
      <w:tcPr>
        <w:tcBorders>
          <w:bottom w:val="single" w:color="4f81bd" w:themeColor="accent1" w:sz="4" w:space="0"/>
        </w:tcBorders>
      </w:tcPr>
    </w:tblStylePr>
    <w:tblStylePr w:type="lastCol">
      <w:rPr>
        <w:b/>
        <w:color w:val="2a4a71" w:themeColor="accent1" w:themeShade="95"/>
      </w:rPr>
      <w:pPr>
        <w:pBdr/>
        <w:spacing/>
        <w:ind/>
      </w:pPr>
      <w:tblPr>
        <w:tblBorders/>
      </w:tblPr>
      <w:tcPr>
        <w:tcBorders/>
      </w:tcPr>
    </w:tblStylePr>
    <w:tblStylePr w:type="lastRow">
      <w:rPr>
        <w:b/>
        <w:color w:val="2a4a71" w:themeColor="accent1" w:themeShade="95"/>
      </w:rPr>
      <w:pPr>
        <w:pBdr/>
        <w:spacing/>
        <w:ind/>
      </w:pPr>
      <w:tblPr>
        <w:tblBorders/>
      </w:tblPr>
      <w:tcPr>
        <w:tcBorders>
          <w:top w:val="single" w:color="4f81bd"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0">
    <w:name w:val="List Table 6 Colorful Accent 2"/>
    <w:basedOn w:val="956"/>
    <w:uiPriority w:val="99"/>
    <w:pPr>
      <w:pBdr/>
      <w:spacing/>
      <w:ind/>
    </w:pPr>
    <w:tblPr>
      <w:tblStyleRowBandSize w:val="1"/>
      <w:tblStyleColBandSize w:val="1"/>
      <w:tblBorders>
        <w:top w:val="single" w:color="d99695" w:themeColor="accent2" w:themeTint="97" w:sz="4" w:space="0"/>
        <w:bottom w:val="single" w:color="d99695" w:themeColor="accent2" w:themeTint="97" w:sz="4" w:space="0"/>
      </w:tblBorders>
    </w:tblPr>
    <w:tcPr>
      <w:tcBorders/>
    </w:tcPr>
    <w:tblStylePr w:type="band1Horz">
      <w:rPr>
        <w:rFonts w:ascii="Arial" w:hAnsi="Arial"/>
        <w:color w:val="d99695" w:themeColor="accent2" w:themeTint="97" w:themeShade="95"/>
        <w:sz w:val="22"/>
      </w:rPr>
      <w:pPr>
        <w:pBdr/>
        <w:spacing/>
        <w:ind/>
      </w:pPr>
      <w:tblPr>
        <w:tblBorders/>
      </w:tblPr>
      <w:tcPr>
        <w:shd w:val="clear" w:color="efd2d2" w:themeColor="accent2" w:themeTint="40" w:fill="efd2d2" w:themeFill="accent2" w:themeFillTint="40"/>
        <w:tcBorders/>
      </w:tcPr>
    </w:tblStylePr>
    <w:tblStylePr w:type="band1Vert">
      <w:pPr>
        <w:pBdr/>
        <w:spacing/>
        <w:ind/>
      </w:pPr>
      <w:tblPr>
        <w:tblBorders/>
      </w:tblPr>
      <w:tcPr>
        <w:shd w:val="clear" w:color="efd2d2" w:themeColor="accent2" w:themeTint="40" w:fill="efd2d2" w:themeFill="accent2" w:themeFillTint="40"/>
        <w:tcBorders/>
      </w:tcPr>
    </w:tblStylePr>
    <w:tblStylePr w:type="band2Horz">
      <w:rPr>
        <w:rFonts w:ascii="Arial" w:hAnsi="Arial"/>
        <w:color w:val="d9969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9695" w:themeColor="accent2" w:themeTint="97" w:themeShade="95"/>
      </w:rPr>
      <w:pPr>
        <w:pBdr/>
        <w:spacing/>
        <w:ind/>
      </w:pPr>
      <w:tblPr>
        <w:tblBorders/>
      </w:tblPr>
      <w:tcPr>
        <w:tcBorders/>
      </w:tcPr>
    </w:tblStylePr>
    <w:tblStylePr w:type="firstRow">
      <w:rPr>
        <w:b/>
        <w:color w:val="d99695" w:themeColor="accent2" w:themeTint="97" w:themeShade="95"/>
      </w:rPr>
      <w:pPr>
        <w:pBdr/>
        <w:spacing/>
        <w:ind/>
      </w:pPr>
      <w:tblPr>
        <w:tblBorders/>
      </w:tblPr>
      <w:tcPr>
        <w:tcBorders>
          <w:bottom w:val="single" w:color="d99695" w:themeColor="accent2" w:themeTint="97" w:sz="4" w:space="0"/>
        </w:tcBorders>
      </w:tcPr>
    </w:tblStylePr>
    <w:tblStylePr w:type="lastCol">
      <w:rPr>
        <w:b/>
        <w:color w:val="d99695" w:themeColor="accent2" w:themeTint="97" w:themeShade="95"/>
      </w:rPr>
      <w:pPr>
        <w:pBdr/>
        <w:spacing/>
        <w:ind/>
      </w:pPr>
      <w:tblPr>
        <w:tblBorders/>
      </w:tblPr>
      <w:tcPr>
        <w:tcBorders/>
      </w:tcPr>
    </w:tblStylePr>
    <w:tblStylePr w:type="lastRow">
      <w:rPr>
        <w:b/>
        <w:color w:val="d99695" w:themeColor="accent2" w:themeTint="97" w:themeShade="95"/>
      </w:rPr>
      <w:pPr>
        <w:pBdr/>
        <w:spacing/>
        <w:ind/>
      </w:pPr>
      <w:tblPr>
        <w:tblBorders/>
      </w:tblPr>
      <w:tcPr>
        <w:tcBorders>
          <w:top w:val="single" w:color="d9969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name w:val="List Table 6 Colorful Accent 3"/>
    <w:basedOn w:val="956"/>
    <w:uiPriority w:val="99"/>
    <w:pPr>
      <w:pBdr/>
      <w:spacing/>
      <w:ind/>
    </w:pPr>
    <w:tblPr>
      <w:tblStyleRowBandSize w:val="1"/>
      <w:tblStyleColBandSize w:val="1"/>
      <w:tblBorders>
        <w:top w:val="single" w:color="c3d69b" w:themeColor="accent3" w:themeTint="98" w:sz="4" w:space="0"/>
        <w:bottom w:val="single" w:color="c3d69b" w:themeColor="accent3" w:themeTint="98" w:sz="4" w:space="0"/>
      </w:tblBorders>
    </w:tblPr>
    <w:tcPr>
      <w:tcBorders/>
    </w:tcPr>
    <w:tblStylePr w:type="band1Horz">
      <w:rPr>
        <w:rFonts w:ascii="Arial" w:hAnsi="Arial"/>
        <w:color w:val="c3d69b" w:themeColor="accent3" w:themeTint="98" w:themeShade="95"/>
        <w:sz w:val="22"/>
      </w:rPr>
      <w:pPr>
        <w:pBdr/>
        <w:spacing/>
        <w:ind/>
      </w:pPr>
      <w:tblPr>
        <w:tblBorders/>
      </w:tblPr>
      <w:tcPr>
        <w:shd w:val="clear" w:color="e5eed5" w:themeColor="accent3" w:themeTint="40" w:fill="e5eed5" w:themeFill="accent3" w:themeFillTint="40"/>
        <w:tcBorders/>
      </w:tcPr>
    </w:tblStylePr>
    <w:tblStylePr w:type="band1Vert">
      <w:pPr>
        <w:pBdr/>
        <w:spacing/>
        <w:ind/>
      </w:pPr>
      <w:tblPr>
        <w:tblBorders/>
      </w:tblPr>
      <w:tcPr>
        <w:shd w:val="clear" w:color="e5eed5" w:themeColor="accent3" w:themeTint="40" w:fill="e5eed5" w:themeFill="accent3" w:themeFillTint="40"/>
        <w:tcBorders/>
      </w:tcPr>
    </w:tblStylePr>
    <w:tblStylePr w:type="band2Horz">
      <w:rPr>
        <w:rFonts w:ascii="Arial" w:hAnsi="Arial"/>
        <w:color w:val="c3d69b"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3d69b" w:themeColor="accent3" w:themeTint="98" w:themeShade="95"/>
      </w:rPr>
      <w:pPr>
        <w:pBdr/>
        <w:spacing/>
        <w:ind/>
      </w:pPr>
      <w:tblPr>
        <w:tblBorders/>
      </w:tblPr>
      <w:tcPr>
        <w:tcBorders/>
      </w:tcPr>
    </w:tblStylePr>
    <w:tblStylePr w:type="firstRow">
      <w:rPr>
        <w:b/>
        <w:color w:val="c3d69b" w:themeColor="accent3" w:themeTint="98" w:themeShade="95"/>
      </w:rPr>
      <w:pPr>
        <w:pBdr/>
        <w:spacing/>
        <w:ind/>
      </w:pPr>
      <w:tblPr>
        <w:tblBorders/>
      </w:tblPr>
      <w:tcPr>
        <w:tcBorders>
          <w:bottom w:val="single" w:color="c3d69b" w:themeColor="accent3" w:themeTint="98" w:sz="4" w:space="0"/>
        </w:tcBorders>
      </w:tcPr>
    </w:tblStylePr>
    <w:tblStylePr w:type="lastCol">
      <w:rPr>
        <w:b/>
        <w:color w:val="c3d69b" w:themeColor="accent3" w:themeTint="98" w:themeShade="95"/>
      </w:rPr>
      <w:pPr>
        <w:pBdr/>
        <w:spacing/>
        <w:ind/>
      </w:pPr>
      <w:tblPr>
        <w:tblBorders/>
      </w:tblPr>
      <w:tcPr>
        <w:tcBorders/>
      </w:tcPr>
    </w:tblStylePr>
    <w:tblStylePr w:type="lastRow">
      <w:rPr>
        <w:b/>
        <w:color w:val="c3d69b" w:themeColor="accent3" w:themeTint="98" w:themeShade="95"/>
      </w:rPr>
      <w:pPr>
        <w:pBdr/>
        <w:spacing/>
        <w:ind/>
      </w:pPr>
      <w:tblPr>
        <w:tblBorders/>
      </w:tblPr>
      <w:tcPr>
        <w:tcBorders>
          <w:top w:val="single" w:color="c3d69b"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name w:val="List Table 6 Colorful Accent 4"/>
    <w:basedOn w:val="956"/>
    <w:uiPriority w:val="99"/>
    <w:pPr>
      <w:pBdr/>
      <w:spacing/>
      <w:ind/>
    </w:pPr>
    <w:tblPr>
      <w:tblStyleRowBandSize w:val="1"/>
      <w:tblStyleColBandSize w:val="1"/>
      <w:tblBorders>
        <w:top w:val="single" w:color="b2a1c6" w:themeColor="accent4" w:themeTint="9A" w:sz="4" w:space="0"/>
        <w:bottom w:val="single" w:color="b2a1c6" w:themeColor="accent4" w:themeTint="9A" w:sz="4" w:space="0"/>
      </w:tblBorders>
    </w:tblPr>
    <w:tcPr>
      <w:tcBorders/>
    </w:tcPr>
    <w:tblStylePr w:type="band1Horz">
      <w:rPr>
        <w:rFonts w:ascii="Arial" w:hAnsi="Arial"/>
        <w:color w:val="b2a1c6" w:themeColor="accent4" w:themeTint="9A" w:themeShade="95"/>
        <w:sz w:val="22"/>
      </w:rPr>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rPr>
        <w:rFonts w:ascii="Arial" w:hAnsi="Arial"/>
        <w:color w:val="b2a1c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b2a1c6" w:themeColor="accent4" w:themeTint="9A" w:themeShade="95"/>
      </w:rPr>
      <w:pPr>
        <w:pBdr/>
        <w:spacing/>
        <w:ind/>
      </w:pPr>
      <w:tblPr>
        <w:tblBorders/>
      </w:tblPr>
      <w:tcPr>
        <w:tcBorders/>
      </w:tcPr>
    </w:tblStylePr>
    <w:tblStylePr w:type="firstRow">
      <w:rPr>
        <w:b/>
        <w:color w:val="b2a1c6" w:themeColor="accent4" w:themeTint="9A" w:themeShade="95"/>
      </w:rPr>
      <w:pPr>
        <w:pBdr/>
        <w:spacing/>
        <w:ind/>
      </w:pPr>
      <w:tblPr>
        <w:tblBorders/>
      </w:tblPr>
      <w:tcPr>
        <w:tcBorders>
          <w:bottom w:val="single" w:color="b2a1c6" w:themeColor="accent4" w:themeTint="9A" w:sz="4" w:space="0"/>
        </w:tcBorders>
      </w:tcPr>
    </w:tblStylePr>
    <w:tblStylePr w:type="lastCol">
      <w:rPr>
        <w:b/>
        <w:color w:val="b2a1c6" w:themeColor="accent4" w:themeTint="9A" w:themeShade="95"/>
      </w:rPr>
      <w:pPr>
        <w:pBdr/>
        <w:spacing/>
        <w:ind/>
      </w:pPr>
      <w:tblPr>
        <w:tblBorders/>
      </w:tblPr>
      <w:tcPr>
        <w:tcBorders/>
      </w:tcPr>
    </w:tblStylePr>
    <w:tblStylePr w:type="lastRow">
      <w:rPr>
        <w:b/>
        <w:color w:val="b2a1c6" w:themeColor="accent4" w:themeTint="9A" w:themeShade="95"/>
      </w:rPr>
      <w:pPr>
        <w:pBdr/>
        <w:spacing/>
        <w:ind/>
      </w:pPr>
      <w:tblPr>
        <w:tblBorders/>
      </w:tblPr>
      <w:tcPr>
        <w:tcBorders>
          <w:top w:val="single" w:color="b2a1c6"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name w:val="List Table 6 Colorful Accent 5"/>
    <w:basedOn w:val="956"/>
    <w:uiPriority w:val="99"/>
    <w:pPr>
      <w:pBdr/>
      <w:spacing/>
      <w:ind/>
    </w:pPr>
    <w:tblPr>
      <w:tblStyleRowBandSize w:val="1"/>
      <w:tblStyleColBandSize w:val="1"/>
      <w:tblBorders>
        <w:top w:val="single" w:color="92ccdc" w:themeColor="accent5" w:themeTint="9A" w:sz="4" w:space="0"/>
        <w:bottom w:val="single" w:color="92ccdc" w:themeColor="accent5" w:themeTint="9A" w:sz="4" w:space="0"/>
      </w:tblBorders>
    </w:tblPr>
    <w:tcPr>
      <w:tcBorders/>
    </w:tcPr>
    <w:tblStylePr w:type="band1Horz">
      <w:rPr>
        <w:rFonts w:ascii="Arial" w:hAnsi="Arial"/>
        <w:color w:val="92ccdc" w:themeColor="accent5" w:themeTint="9A" w:themeShade="95"/>
        <w:sz w:val="22"/>
      </w:rPr>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rPr>
        <w:rFonts w:ascii="Arial" w:hAnsi="Arial"/>
        <w:color w:val="92ccdc"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2ccdc" w:themeColor="accent5" w:themeTint="9A" w:themeShade="95"/>
      </w:rPr>
      <w:pPr>
        <w:pBdr/>
        <w:spacing/>
        <w:ind/>
      </w:pPr>
      <w:tblPr>
        <w:tblBorders/>
      </w:tblPr>
      <w:tcPr>
        <w:tcBorders/>
      </w:tcPr>
    </w:tblStylePr>
    <w:tblStylePr w:type="firstRow">
      <w:rPr>
        <w:b/>
        <w:color w:val="92ccdc" w:themeColor="accent5" w:themeTint="9A" w:themeShade="95"/>
      </w:rPr>
      <w:pPr>
        <w:pBdr/>
        <w:spacing/>
        <w:ind/>
      </w:pPr>
      <w:tblPr>
        <w:tblBorders/>
      </w:tblPr>
      <w:tcPr>
        <w:tcBorders>
          <w:bottom w:val="single" w:color="92ccdc" w:themeColor="accent5" w:themeTint="9A" w:sz="4" w:space="0"/>
        </w:tcBorders>
      </w:tcPr>
    </w:tblStylePr>
    <w:tblStylePr w:type="lastCol">
      <w:rPr>
        <w:b/>
        <w:color w:val="92ccdc" w:themeColor="accent5" w:themeTint="9A" w:themeShade="95"/>
      </w:rPr>
      <w:pPr>
        <w:pBdr/>
        <w:spacing/>
        <w:ind/>
      </w:pPr>
      <w:tblPr>
        <w:tblBorders/>
      </w:tblPr>
      <w:tcPr>
        <w:tcBorders/>
      </w:tcPr>
    </w:tblStylePr>
    <w:tblStylePr w:type="lastRow">
      <w:rPr>
        <w:b/>
        <w:color w:val="92ccdc" w:themeColor="accent5" w:themeTint="9A" w:themeShade="95"/>
      </w:rPr>
      <w:pPr>
        <w:pBdr/>
        <w:spacing/>
        <w:ind/>
      </w:pPr>
      <w:tblPr>
        <w:tblBorders/>
      </w:tblPr>
      <w:tcPr>
        <w:tcBorders>
          <w:top w:val="single" w:color="92ccdc"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name w:val="List Table 6 Colorful Accent 6"/>
    <w:basedOn w:val="956"/>
    <w:uiPriority w:val="99"/>
    <w:pPr>
      <w:pBdr/>
      <w:spacing/>
      <w:ind/>
    </w:pPr>
    <w:tblPr>
      <w:tblStyleRowBandSize w:val="1"/>
      <w:tblStyleColBandSize w:val="1"/>
      <w:tblBorders>
        <w:top w:val="single" w:color="fac090" w:themeColor="accent6" w:themeTint="98" w:sz="4" w:space="0"/>
        <w:bottom w:val="single" w:color="fac090" w:themeColor="accent6" w:themeTint="98" w:sz="4" w:space="0"/>
      </w:tblBorders>
    </w:tblPr>
    <w:tcPr>
      <w:tcBorders/>
    </w:tcPr>
    <w:tblStylePr w:type="band1Horz">
      <w:rPr>
        <w:rFonts w:ascii="Arial" w:hAnsi="Arial"/>
        <w:color w:val="fac090" w:themeColor="accent6" w:themeTint="98" w:themeShade="95"/>
        <w:sz w:val="22"/>
      </w:rPr>
      <w:pPr>
        <w:pBdr/>
        <w:spacing/>
        <w:ind/>
      </w:pPr>
      <w:tblPr>
        <w:tblBorders/>
      </w:tblPr>
      <w:tcPr>
        <w:shd w:val="clear" w:color="fde4d0" w:themeColor="accent6" w:themeTint="40" w:fill="fde4d0" w:themeFill="accent6" w:themeFillTint="40"/>
        <w:tcBorders/>
      </w:tcPr>
    </w:tblStylePr>
    <w:tblStylePr w:type="band1Vert">
      <w:pPr>
        <w:pBdr/>
        <w:spacing/>
        <w:ind/>
      </w:pPr>
      <w:tblPr>
        <w:tblBorders/>
      </w:tblPr>
      <w:tcPr>
        <w:shd w:val="clear" w:color="fde4d0" w:themeColor="accent6" w:themeTint="40" w:fill="fde4d0" w:themeFill="accent6" w:themeFillTint="40"/>
        <w:tcBorders/>
      </w:tcPr>
    </w:tblStylePr>
    <w:tblStylePr w:type="band2Horz">
      <w:rPr>
        <w:rFonts w:ascii="Arial" w:hAnsi="Arial"/>
        <w:color w:val="fac09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ac090" w:themeColor="accent6" w:themeTint="98" w:themeShade="95"/>
      </w:rPr>
      <w:pPr>
        <w:pBdr/>
        <w:spacing/>
        <w:ind/>
      </w:pPr>
      <w:tblPr>
        <w:tblBorders/>
      </w:tblPr>
      <w:tcPr>
        <w:tcBorders/>
      </w:tcPr>
    </w:tblStylePr>
    <w:tblStylePr w:type="firstRow">
      <w:rPr>
        <w:b/>
        <w:color w:val="fac090" w:themeColor="accent6" w:themeTint="98" w:themeShade="95"/>
      </w:rPr>
      <w:pPr>
        <w:pBdr/>
        <w:spacing/>
        <w:ind/>
      </w:pPr>
      <w:tblPr>
        <w:tblBorders/>
      </w:tblPr>
      <w:tcPr>
        <w:tcBorders>
          <w:bottom w:val="single" w:color="fac090" w:themeColor="accent6" w:themeTint="98" w:sz="4" w:space="0"/>
        </w:tcBorders>
      </w:tcPr>
    </w:tblStylePr>
    <w:tblStylePr w:type="lastCol">
      <w:rPr>
        <w:b/>
        <w:color w:val="fac090" w:themeColor="accent6" w:themeTint="98" w:themeShade="95"/>
      </w:rPr>
      <w:pPr>
        <w:pBdr/>
        <w:spacing/>
        <w:ind/>
      </w:pPr>
      <w:tblPr>
        <w:tblBorders/>
      </w:tblPr>
      <w:tcPr>
        <w:tcBorders/>
      </w:tcPr>
    </w:tblStylePr>
    <w:tblStylePr w:type="lastRow">
      <w:rPr>
        <w:b/>
        <w:color w:val="fac090" w:themeColor="accent6" w:themeTint="98" w:themeShade="95"/>
      </w:rPr>
      <w:pPr>
        <w:pBdr/>
        <w:spacing/>
        <w:ind/>
      </w:pPr>
      <w:tblPr>
        <w:tblBorders/>
      </w:tblPr>
      <w:tcPr>
        <w:tcBorders>
          <w:top w:val="single" w:color="fac09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name w:val="List Table 7 Colorful"/>
    <w:basedOn w:val="956"/>
    <w:uiPriority w:val="99"/>
    <w:pPr>
      <w:pBdr/>
      <w:spacing/>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name w:val="List Table 7 Colorful Accent 1"/>
    <w:basedOn w:val="956"/>
    <w:uiPriority w:val="99"/>
    <w:pPr>
      <w:pBdr/>
      <w:spacing/>
      <w:ind/>
    </w:pPr>
    <w:tblPr>
      <w:tblStyleRowBandSize w:val="1"/>
      <w:tblStyleColBandSize w:val="1"/>
      <w:tblBorders>
        <w:right w:val="single" w:color="4f81bd" w:themeColor="accent1" w:sz="4" w:space="0"/>
      </w:tblBorders>
    </w:tblPr>
    <w:tcPr>
      <w:tcBorders/>
    </w:tcPr>
    <w:tblStylePr w:type="band1Horz">
      <w:rPr>
        <w:rFonts w:ascii="Arial" w:hAnsi="Arial"/>
        <w:color w:val="2a4a71" w:themeColor="accent1" w:themeShade="95"/>
        <w:sz w:val="22"/>
      </w:rPr>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rPr>
        <w:rFonts w:ascii="Arial" w:hAnsi="Arial"/>
        <w:color w:val="2a4a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a71" w:themeColor="accent1"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pPr>
        <w:pBdr/>
        <w:spacing/>
        <w:ind/>
      </w:pPr>
      <w:tblPr>
        <w:tblBorders/>
      </w:tbl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pPr>
        <w:pBdr/>
        <w:spacing/>
        <w:ind/>
      </w:pPr>
      <w:tblPr>
        <w:tblBorders/>
      </w:tbl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name w:val="List Table 7 Colorful Accent 2"/>
    <w:basedOn w:val="956"/>
    <w:uiPriority w:val="99"/>
    <w:pPr>
      <w:pBdr/>
      <w:spacing/>
      <w:ind/>
    </w:pPr>
    <w:tblPr>
      <w:tblStyleRowBandSize w:val="1"/>
      <w:tblStyleColBandSize w:val="1"/>
      <w:tblBorders>
        <w:right w:val="single" w:color="d99695" w:themeColor="accent2" w:themeTint="97" w:sz="4" w:space="0"/>
      </w:tblBorders>
    </w:tblPr>
    <w:tcPr>
      <w:tcBorders/>
    </w:tcPr>
    <w:tblStylePr w:type="band1Horz">
      <w:rPr>
        <w:rFonts w:ascii="Arial" w:hAnsi="Arial"/>
        <w:color w:val="d99695" w:themeColor="accent2" w:themeTint="97" w:themeShade="95"/>
        <w:sz w:val="22"/>
      </w:rPr>
      <w:pPr>
        <w:pBdr/>
        <w:spacing/>
        <w:ind/>
      </w:pPr>
      <w:tblPr>
        <w:tblBorders/>
      </w:tblPr>
      <w:tcPr>
        <w:shd w:val="clear" w:color="efd2d2" w:themeColor="accent2" w:themeTint="40" w:fill="efd2d2" w:themeFill="accent2" w:themeFillTint="40"/>
        <w:tcBorders/>
      </w:tcPr>
    </w:tblStylePr>
    <w:tblStylePr w:type="band1Vert">
      <w:pPr>
        <w:pBdr/>
        <w:spacing/>
        <w:ind/>
      </w:pPr>
      <w:tblPr>
        <w:tblBorders/>
      </w:tblPr>
      <w:tcPr>
        <w:shd w:val="clear" w:color="efd2d2" w:themeColor="accent2" w:themeTint="40" w:fill="efd2d2" w:themeFill="accent2" w:themeFillTint="40"/>
        <w:tcBorders/>
      </w:tcPr>
    </w:tblStylePr>
    <w:tblStylePr w:type="band2Horz">
      <w:rPr>
        <w:rFonts w:ascii="Arial" w:hAnsi="Arial"/>
        <w:color w:val="d9969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9695" w:themeColor="accent2" w:themeTint="97"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pPr>
        <w:pBdr/>
        <w:spacing/>
        <w:ind/>
      </w:pPr>
      <w:tblPr>
        <w:tblBorders/>
      </w:tbl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pPr>
        <w:pBdr/>
        <w:spacing/>
        <w:ind/>
      </w:pPr>
      <w:tblPr>
        <w:tblBorders/>
      </w:tbl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8">
    <w:name w:val="List Table 7 Colorful Accent 3"/>
    <w:basedOn w:val="956"/>
    <w:uiPriority w:val="99"/>
    <w:pPr>
      <w:pBdr/>
      <w:spacing/>
      <w:ind/>
    </w:pPr>
    <w:tblPr>
      <w:tblStyleRowBandSize w:val="1"/>
      <w:tblStyleColBandSize w:val="1"/>
      <w:tblBorders>
        <w:right w:val="single" w:color="c3d69b" w:themeColor="accent3" w:themeTint="98" w:sz="4" w:space="0"/>
      </w:tblBorders>
    </w:tblPr>
    <w:tcPr>
      <w:tcBorders/>
    </w:tcPr>
    <w:tblStylePr w:type="band1Horz">
      <w:rPr>
        <w:rFonts w:ascii="Arial" w:hAnsi="Arial"/>
        <w:color w:val="c3d69b" w:themeColor="accent3" w:themeTint="98" w:themeShade="95"/>
        <w:sz w:val="22"/>
      </w:rPr>
      <w:pPr>
        <w:pBdr/>
        <w:spacing/>
        <w:ind/>
      </w:pPr>
      <w:tblPr>
        <w:tblBorders/>
      </w:tblPr>
      <w:tcPr>
        <w:shd w:val="clear" w:color="e5eed5" w:themeColor="accent3" w:themeTint="40" w:fill="e5eed5" w:themeFill="accent3" w:themeFillTint="40"/>
        <w:tcBorders/>
      </w:tcPr>
    </w:tblStylePr>
    <w:tblStylePr w:type="band1Vert">
      <w:pPr>
        <w:pBdr/>
        <w:spacing/>
        <w:ind/>
      </w:pPr>
      <w:tblPr>
        <w:tblBorders/>
      </w:tblPr>
      <w:tcPr>
        <w:shd w:val="clear" w:color="e5eed5" w:themeColor="accent3" w:themeTint="40" w:fill="e5eed5" w:themeFill="accent3" w:themeFillTint="40"/>
        <w:tcBorders/>
      </w:tcPr>
    </w:tblStylePr>
    <w:tblStylePr w:type="band2Horz">
      <w:rPr>
        <w:rFonts w:ascii="Arial" w:hAnsi="Arial"/>
        <w:color w:val="c3d69b"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3d69b" w:themeColor="accent3" w:themeTint="98"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pPr>
        <w:pBdr/>
        <w:spacing/>
        <w:ind/>
      </w:pPr>
      <w:tblPr>
        <w:tblBorders/>
      </w:tbl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pPr>
        <w:pBdr/>
        <w:spacing/>
        <w:ind/>
      </w:pPr>
      <w:tblPr>
        <w:tblBorders/>
      </w:tbl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9">
    <w:name w:val="List Table 7 Colorful Accent 4"/>
    <w:basedOn w:val="956"/>
    <w:uiPriority w:val="99"/>
    <w:pPr>
      <w:pBdr/>
      <w:spacing/>
      <w:ind/>
    </w:pPr>
    <w:tblPr>
      <w:tblStyleRowBandSize w:val="1"/>
      <w:tblStyleColBandSize w:val="1"/>
      <w:tblBorders>
        <w:right w:val="single" w:color="b2a1c6" w:themeColor="accent4" w:themeTint="9A" w:sz="4" w:space="0"/>
      </w:tblBorders>
    </w:tblPr>
    <w:tcPr>
      <w:tcBorders/>
    </w:tcPr>
    <w:tblStylePr w:type="band1Horz">
      <w:rPr>
        <w:rFonts w:ascii="Arial" w:hAnsi="Arial"/>
        <w:color w:val="b2a1c6" w:themeColor="accent4" w:themeTint="9A" w:themeShade="95"/>
        <w:sz w:val="22"/>
      </w:rPr>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rPr>
        <w:rFonts w:ascii="Arial" w:hAnsi="Arial"/>
        <w:color w:val="b2a1c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a1c6" w:themeColor="accent4"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pPr>
        <w:pBdr/>
        <w:spacing/>
        <w:ind/>
      </w:pPr>
      <w:tblPr>
        <w:tblBorders/>
      </w:tbl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pPr>
        <w:pBdr/>
        <w:spacing/>
        <w:ind/>
      </w:pPr>
      <w:tblPr>
        <w:tblBorders/>
      </w:tbl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0">
    <w:name w:val="List Table 7 Colorful Accent 5"/>
    <w:basedOn w:val="956"/>
    <w:uiPriority w:val="99"/>
    <w:pPr>
      <w:pBdr/>
      <w:spacing/>
      <w:ind/>
    </w:pPr>
    <w:tblPr>
      <w:tblStyleRowBandSize w:val="1"/>
      <w:tblStyleColBandSize w:val="1"/>
      <w:tblBorders>
        <w:right w:val="single" w:color="92ccdc" w:themeColor="accent5" w:themeTint="9A" w:sz="4" w:space="0"/>
      </w:tblBorders>
    </w:tblPr>
    <w:tcPr>
      <w:tcBorders/>
    </w:tcPr>
    <w:tblStylePr w:type="band1Horz">
      <w:rPr>
        <w:rFonts w:ascii="Arial" w:hAnsi="Arial"/>
        <w:color w:val="92ccdc" w:themeColor="accent5" w:themeTint="9A" w:themeShade="95"/>
        <w:sz w:val="22"/>
      </w:rPr>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rPr>
        <w:rFonts w:ascii="Arial" w:hAnsi="Arial"/>
        <w:color w:val="92ccdc"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2ccdc" w:themeColor="accent5"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pPr>
        <w:pBdr/>
        <w:spacing/>
        <w:ind/>
      </w:pPr>
      <w:tblPr>
        <w:tblBorders/>
      </w:tbl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pPr>
        <w:pBdr/>
        <w:spacing/>
        <w:ind/>
      </w:pPr>
      <w:tblPr>
        <w:tblBorders/>
      </w:tbl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1">
    <w:name w:val="List Table 7 Colorful Accent 6"/>
    <w:basedOn w:val="956"/>
    <w:uiPriority w:val="99"/>
    <w:pPr>
      <w:pBdr/>
      <w:spacing/>
      <w:ind/>
    </w:pPr>
    <w:tblPr>
      <w:tblStyleRowBandSize w:val="1"/>
      <w:tblStyleColBandSize w:val="1"/>
      <w:tblBorders>
        <w:right w:val="single" w:color="fac090" w:themeColor="accent6" w:themeTint="98" w:sz="4" w:space="0"/>
      </w:tblBorders>
    </w:tblPr>
    <w:tcPr>
      <w:tcBorders/>
    </w:tcPr>
    <w:tblStylePr w:type="band1Horz">
      <w:rPr>
        <w:rFonts w:ascii="Arial" w:hAnsi="Arial"/>
        <w:color w:val="fac090" w:themeColor="accent6" w:themeTint="98" w:themeShade="95"/>
        <w:sz w:val="22"/>
      </w:rPr>
      <w:pPr>
        <w:pBdr/>
        <w:spacing/>
        <w:ind/>
      </w:pPr>
      <w:tblPr>
        <w:tblBorders/>
      </w:tblPr>
      <w:tcPr>
        <w:shd w:val="clear" w:color="fde4d0" w:themeColor="accent6" w:themeTint="40" w:fill="fde4d0" w:themeFill="accent6" w:themeFillTint="40"/>
        <w:tcBorders/>
      </w:tcPr>
    </w:tblStylePr>
    <w:tblStylePr w:type="band1Vert">
      <w:pPr>
        <w:pBdr/>
        <w:spacing/>
        <w:ind/>
      </w:pPr>
      <w:tblPr>
        <w:tblBorders/>
      </w:tblPr>
      <w:tcPr>
        <w:shd w:val="clear" w:color="fde4d0" w:themeColor="accent6" w:themeTint="40" w:fill="fde4d0" w:themeFill="accent6" w:themeFillTint="40"/>
        <w:tcBorders/>
      </w:tcPr>
    </w:tblStylePr>
    <w:tblStylePr w:type="band2Horz">
      <w:rPr>
        <w:rFonts w:ascii="Arial" w:hAnsi="Arial"/>
        <w:color w:val="fac09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ac090" w:themeColor="accent6" w:themeTint="98"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pPr>
        <w:pBdr/>
        <w:spacing/>
        <w:ind/>
      </w:pPr>
      <w:tblPr>
        <w:tblBorders/>
      </w:tbl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pPr>
        <w:pBdr/>
        <w:spacing/>
        <w:ind/>
      </w:pPr>
      <w:tblPr>
        <w:tblBorders/>
      </w:tbl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2" w:customStyle="1">
    <w:name w:val="Lined - Accent"/>
    <w:basedOn w:val="956"/>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3" w:customStyle="1">
    <w:name w:val="Lined - Accent 1"/>
    <w:basedOn w:val="956"/>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firstRow">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lastCol">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lastRow">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4" w:customStyle="1">
    <w:name w:val="Lined - Accent 2"/>
    <w:basedOn w:val="956"/>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firstCol">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firstRow">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lastCol">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lastRow">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customStyle="1">
    <w:name w:val="Lined - Accent 3"/>
    <w:basedOn w:val="956"/>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2Vert">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firstCol">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firstRow">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lastCol">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lastRow">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customStyle="1">
    <w:name w:val="Lined - Accent 4"/>
    <w:basedOn w:val="956"/>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7" w:customStyle="1">
    <w:name w:val="Lined - Accent 5"/>
    <w:basedOn w:val="956"/>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4bacc6" w:themeColor="accent5" w:fill="4bacc6" w:themeFill="accent5"/>
        <w:tcBorders/>
      </w:tcPr>
    </w:tblStylePr>
    <w:tblStylePr w:type="firstRow">
      <w:rPr>
        <w:rFonts w:ascii="Arial" w:hAnsi="Arial"/>
        <w:color w:val="f2f2f2"/>
        <w:sz w:val="22"/>
      </w:rPr>
      <w:pPr>
        <w:pBdr/>
        <w:spacing/>
        <w:ind/>
      </w:pPr>
      <w:tblPr>
        <w:tblBorders/>
      </w:tblPr>
      <w:tcPr>
        <w:shd w:val="clear" w:color="4bacc6" w:themeColor="accent5" w:fill="4bacc6" w:themeFill="accent5"/>
        <w:tcBorders/>
      </w:tcPr>
    </w:tblStylePr>
    <w:tblStylePr w:type="lastCol">
      <w:rPr>
        <w:rFonts w:ascii="Arial" w:hAnsi="Arial"/>
        <w:color w:val="f2f2f2"/>
        <w:sz w:val="22"/>
      </w:rPr>
      <w:pPr>
        <w:pBdr/>
        <w:spacing/>
        <w:ind/>
      </w:pPr>
      <w:tblPr>
        <w:tblBorders/>
      </w:tblPr>
      <w:tcPr>
        <w:shd w:val="clear" w:color="4bacc6" w:themeColor="accent5" w:fill="4bacc6" w:themeFill="accent5"/>
        <w:tcBorders/>
      </w:tcPr>
    </w:tblStylePr>
    <w:tblStylePr w:type="lastRow">
      <w:rPr>
        <w:rFonts w:ascii="Arial" w:hAnsi="Arial"/>
        <w:color w:val="f2f2f2"/>
        <w:sz w:val="22"/>
      </w:rPr>
      <w:pPr>
        <w:pBdr/>
        <w:spacing/>
        <w:ind/>
      </w:pPr>
      <w:tblPr>
        <w:tblBorders/>
      </w:tblPr>
      <w:tcPr>
        <w:shd w:val="clear" w:color="4bacc6"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8" w:customStyle="1">
    <w:name w:val="Lined - Accent 6"/>
    <w:basedOn w:val="956"/>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79646" w:themeColor="accent6" w:fill="f79646" w:themeFill="accent6"/>
        <w:tcBorders/>
      </w:tcPr>
    </w:tblStylePr>
    <w:tblStylePr w:type="firstRow">
      <w:rPr>
        <w:rFonts w:ascii="Arial" w:hAnsi="Arial"/>
        <w:color w:val="f2f2f2"/>
        <w:sz w:val="22"/>
      </w:rPr>
      <w:pPr>
        <w:pBdr/>
        <w:spacing/>
        <w:ind/>
      </w:pPr>
      <w:tblPr>
        <w:tblBorders/>
      </w:tblPr>
      <w:tcPr>
        <w:shd w:val="clear" w:color="f79646" w:themeColor="accent6" w:fill="f79646" w:themeFill="accent6"/>
        <w:tcBorders/>
      </w:tcPr>
    </w:tblStylePr>
    <w:tblStylePr w:type="lastCol">
      <w:rPr>
        <w:rFonts w:ascii="Arial" w:hAnsi="Arial"/>
        <w:color w:val="f2f2f2"/>
        <w:sz w:val="22"/>
      </w:rPr>
      <w:pPr>
        <w:pBdr/>
        <w:spacing/>
        <w:ind/>
      </w:pPr>
      <w:tblPr>
        <w:tblBorders/>
      </w:tblPr>
      <w:tcPr>
        <w:shd w:val="clear" w:color="f79646" w:themeColor="accent6" w:fill="f79646" w:themeFill="accent6"/>
        <w:tcBorders/>
      </w:tcPr>
    </w:tblStylePr>
    <w:tblStylePr w:type="lastRow">
      <w:rPr>
        <w:rFonts w:ascii="Arial" w:hAnsi="Arial"/>
        <w:color w:val="f2f2f2"/>
        <w:sz w:val="22"/>
      </w:rPr>
      <w:pPr>
        <w:pBdr/>
        <w:spacing/>
        <w:ind/>
      </w:pPr>
      <w:tblPr>
        <w:tblBorders/>
      </w:tblPr>
      <w:tcPr>
        <w:shd w:val="clear" w:color="f79646"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9" w:customStyle="1">
    <w:name w:val="Bordered &amp; Lined - Accent"/>
    <w:basedOn w:val="956"/>
    <w:uiPriority w:val="99"/>
    <w:pPr>
      <w:pBdr/>
      <w:spacing/>
      <w:ind/>
    </w:pPr>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0" w:customStyle="1">
    <w:name w:val="Bordered &amp; Lined - Accent 1"/>
    <w:basedOn w:val="956"/>
    <w:uiPriority w:val="99"/>
    <w:pPr>
      <w:pBdr/>
      <w:spacing/>
      <w:ind/>
    </w:pPr>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firstRow">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lastCol">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lastRow">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1" w:customStyle="1">
    <w:name w:val="Bordered &amp; Lined - Accent 2"/>
    <w:basedOn w:val="956"/>
    <w:uiPriority w:val="99"/>
    <w:pPr>
      <w:pBdr/>
      <w:spacing/>
      <w:ind/>
    </w:pPr>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firstCol">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firstRow">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lastCol">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lastRow">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2" w:customStyle="1">
    <w:name w:val="Bordered &amp; Lined - Accent 3"/>
    <w:basedOn w:val="956"/>
    <w:uiPriority w:val="99"/>
    <w:pPr>
      <w:pBdr/>
      <w:spacing/>
      <w:ind/>
    </w:pPr>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2Vert">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firstCol">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firstRow">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lastCol">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lastRow">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3" w:customStyle="1">
    <w:name w:val="Bordered &amp; Lined - Accent 4"/>
    <w:basedOn w:val="956"/>
    <w:uiPriority w:val="99"/>
    <w:pPr>
      <w:pBdr/>
      <w:spacing/>
      <w:ind/>
    </w:pPr>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customStyle="1">
    <w:name w:val="Bordered &amp; Lined - Accent 5"/>
    <w:basedOn w:val="956"/>
    <w:uiPriority w:val="99"/>
    <w:pPr>
      <w:pBdr/>
      <w:spacing/>
      <w:ind/>
    </w:pPr>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4bacc6" w:themeColor="accent5" w:fill="4bacc6" w:themeFill="accent5"/>
        <w:tcBorders/>
      </w:tcPr>
    </w:tblStylePr>
    <w:tblStylePr w:type="firstRow">
      <w:rPr>
        <w:rFonts w:ascii="Arial" w:hAnsi="Arial"/>
        <w:color w:val="f2f2f2"/>
        <w:sz w:val="22"/>
      </w:rPr>
      <w:pPr>
        <w:pBdr/>
        <w:spacing/>
        <w:ind/>
      </w:pPr>
      <w:tblPr>
        <w:tblBorders/>
      </w:tblPr>
      <w:tcPr>
        <w:shd w:val="clear" w:color="4bacc6" w:themeColor="accent5" w:fill="4bacc6" w:themeFill="accent5"/>
        <w:tcBorders/>
      </w:tcPr>
    </w:tblStylePr>
    <w:tblStylePr w:type="lastCol">
      <w:rPr>
        <w:rFonts w:ascii="Arial" w:hAnsi="Arial"/>
        <w:color w:val="f2f2f2"/>
        <w:sz w:val="22"/>
      </w:rPr>
      <w:pPr>
        <w:pBdr/>
        <w:spacing/>
        <w:ind/>
      </w:pPr>
      <w:tblPr>
        <w:tblBorders/>
      </w:tblPr>
      <w:tcPr>
        <w:shd w:val="clear" w:color="4bacc6" w:themeColor="accent5" w:fill="4bacc6" w:themeFill="accent5"/>
        <w:tcBorders/>
      </w:tcPr>
    </w:tblStylePr>
    <w:tblStylePr w:type="lastRow">
      <w:rPr>
        <w:rFonts w:ascii="Arial" w:hAnsi="Arial"/>
        <w:color w:val="f2f2f2"/>
        <w:sz w:val="22"/>
      </w:rPr>
      <w:pPr>
        <w:pBdr/>
        <w:spacing/>
        <w:ind/>
      </w:pPr>
      <w:tblPr>
        <w:tblBorders/>
      </w:tblPr>
      <w:tcPr>
        <w:shd w:val="clear" w:color="4bacc6"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5" w:customStyle="1">
    <w:name w:val="Bordered &amp; Lined - Accent 6"/>
    <w:basedOn w:val="956"/>
    <w:uiPriority w:val="99"/>
    <w:pPr>
      <w:pBdr/>
      <w:spacing/>
      <w:ind/>
    </w:pPr>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79646" w:themeColor="accent6" w:fill="f79646" w:themeFill="accent6"/>
        <w:tcBorders/>
      </w:tcPr>
    </w:tblStylePr>
    <w:tblStylePr w:type="firstRow">
      <w:rPr>
        <w:rFonts w:ascii="Arial" w:hAnsi="Arial"/>
        <w:color w:val="f2f2f2"/>
        <w:sz w:val="22"/>
      </w:rPr>
      <w:pPr>
        <w:pBdr/>
        <w:spacing/>
        <w:ind/>
      </w:pPr>
      <w:tblPr>
        <w:tblBorders/>
      </w:tblPr>
      <w:tcPr>
        <w:shd w:val="clear" w:color="f79646" w:themeColor="accent6" w:fill="f79646" w:themeFill="accent6"/>
        <w:tcBorders/>
      </w:tcPr>
    </w:tblStylePr>
    <w:tblStylePr w:type="lastCol">
      <w:rPr>
        <w:rFonts w:ascii="Arial" w:hAnsi="Arial"/>
        <w:color w:val="f2f2f2"/>
        <w:sz w:val="22"/>
      </w:rPr>
      <w:pPr>
        <w:pBdr/>
        <w:spacing/>
        <w:ind/>
      </w:pPr>
      <w:tblPr>
        <w:tblBorders/>
      </w:tblPr>
      <w:tcPr>
        <w:shd w:val="clear" w:color="f79646" w:themeColor="accent6" w:fill="f79646" w:themeFill="accent6"/>
        <w:tcBorders/>
      </w:tcPr>
    </w:tblStylePr>
    <w:tblStylePr w:type="lastRow">
      <w:rPr>
        <w:rFonts w:ascii="Arial" w:hAnsi="Arial"/>
        <w:color w:val="f2f2f2"/>
        <w:sz w:val="22"/>
      </w:rPr>
      <w:pPr>
        <w:pBdr/>
        <w:spacing/>
        <w:ind/>
      </w:pPr>
      <w:tblPr>
        <w:tblBorders/>
      </w:tblPr>
      <w:tcPr>
        <w:shd w:val="clear" w:color="f79646"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6" w:customStyle="1">
    <w:name w:val="Bordered"/>
    <w:basedOn w:val="956"/>
    <w:uiPriority w:val="99"/>
    <w:pPr>
      <w:pBdr/>
      <w:spacing/>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7" w:customStyle="1">
    <w:name w:val="Bordered - Accent 1"/>
    <w:basedOn w:val="956"/>
    <w:uiPriority w:val="99"/>
    <w:pPr>
      <w:pBdr/>
      <w:spacing/>
      <w:ind/>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4f81bd" w:themeColor="accent1" w:sz="12" w:space="0"/>
        </w:tcBorders>
      </w:tcPr>
    </w:tblStylePr>
    <w:tblStylePr w:type="lastCol">
      <w:rPr>
        <w:rFonts w:ascii="Arial" w:hAnsi="Arial"/>
        <w:color w:val="404040"/>
        <w:sz w:val="22"/>
      </w:rPr>
      <w:pPr>
        <w:pBdr/>
        <w:spacing/>
        <w:ind/>
      </w:pPr>
      <w:tblPr>
        <w:tblBorders/>
      </w:tblPr>
      <w:tcPr>
        <w:tcBorders>
          <w:left w:val="single" w:color="4f81bd" w:themeColor="accent1" w:sz="12" w:space="0"/>
        </w:tcBorders>
      </w:tcPr>
    </w:tblStylePr>
    <w:tblStylePr w:type="lastRow">
      <w:rPr>
        <w:rFonts w:ascii="Arial" w:hAnsi="Arial"/>
        <w:color w:val="404040"/>
        <w:sz w:val="22"/>
      </w:rPr>
      <w:pPr>
        <w:pBdr/>
        <w:spacing/>
        <w:ind/>
      </w:pPr>
      <w:tblPr>
        <w:tblBorders/>
      </w:tblPr>
      <w:tcPr>
        <w:tcBorders>
          <w:top w:val="single" w:color="4f81bd"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8" w:customStyle="1">
    <w:name w:val="Bordered - Accent 2"/>
    <w:basedOn w:val="956"/>
    <w:uiPriority w:val="99"/>
    <w:pPr>
      <w:pBdr/>
      <w:spacing/>
      <w:ind/>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d99695" w:themeColor="accent2" w:themeTint="97" w:sz="12" w:space="0"/>
        </w:tcBorders>
      </w:tcPr>
    </w:tblStylePr>
    <w:tblStylePr w:type="lastCol">
      <w:rPr>
        <w:rFonts w:ascii="Arial" w:hAnsi="Arial"/>
        <w:color w:val="404040"/>
        <w:sz w:val="22"/>
      </w:rPr>
      <w:pPr>
        <w:pBdr/>
        <w:spacing/>
        <w:ind/>
      </w:pPr>
      <w:tblPr>
        <w:tblBorders/>
      </w:tblPr>
      <w:tcPr>
        <w:tcBorders>
          <w:left w:val="single" w:color="d99695" w:themeColor="accent2" w:themeTint="97" w:sz="12" w:space="0"/>
        </w:tcBorders>
      </w:tcPr>
    </w:tblStylePr>
    <w:tblStylePr w:type="lastRow">
      <w:rPr>
        <w:rFonts w:ascii="Arial" w:hAnsi="Arial"/>
        <w:color w:val="404040"/>
        <w:sz w:val="22"/>
      </w:rPr>
      <w:pPr>
        <w:pBdr/>
        <w:spacing/>
        <w:ind/>
      </w:pPr>
      <w:tblPr>
        <w:tblBorders/>
      </w:tblPr>
      <w:tcPr>
        <w:tcBorders>
          <w:top w:val="single" w:color="d99695"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9" w:customStyle="1">
    <w:name w:val="Bordered - Accent 3"/>
    <w:basedOn w:val="956"/>
    <w:uiPriority w:val="99"/>
    <w:pPr>
      <w:pBdr/>
      <w:spacing/>
      <w:ind/>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3d69b" w:themeColor="accent3" w:themeTint="98" w:sz="12" w:space="0"/>
        </w:tcBorders>
      </w:tcPr>
    </w:tblStylePr>
    <w:tblStylePr w:type="lastCol">
      <w:rPr>
        <w:rFonts w:ascii="Arial" w:hAnsi="Arial"/>
        <w:color w:val="404040"/>
        <w:sz w:val="22"/>
      </w:rPr>
      <w:pPr>
        <w:pBdr/>
        <w:spacing/>
        <w:ind/>
      </w:pPr>
      <w:tblPr>
        <w:tblBorders/>
      </w:tblPr>
      <w:tcPr>
        <w:tcBorders>
          <w:left w:val="single" w:color="c3d69b" w:themeColor="accent3" w:themeTint="98" w:sz="12" w:space="0"/>
        </w:tcBorders>
      </w:tcPr>
    </w:tblStylePr>
    <w:tblStylePr w:type="lastRow">
      <w:rPr>
        <w:rFonts w:ascii="Arial" w:hAnsi="Arial"/>
        <w:color w:val="404040"/>
        <w:sz w:val="22"/>
      </w:rPr>
      <w:pPr>
        <w:pBdr/>
        <w:spacing/>
        <w:ind/>
      </w:pPr>
      <w:tblPr>
        <w:tblBorders/>
      </w:tblPr>
      <w:tcPr>
        <w:tcBorders>
          <w:top w:val="single" w:color="c3d69b"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0" w:customStyle="1">
    <w:name w:val="Bordered - Accent 4"/>
    <w:basedOn w:val="956"/>
    <w:uiPriority w:val="99"/>
    <w:pPr>
      <w:pBdr/>
      <w:spacing/>
      <w:ind/>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b2a1c6" w:themeColor="accent4" w:themeTint="9A" w:sz="12" w:space="0"/>
        </w:tcBorders>
      </w:tcPr>
    </w:tblStylePr>
    <w:tblStylePr w:type="lastCol">
      <w:rPr>
        <w:rFonts w:ascii="Arial" w:hAnsi="Arial"/>
        <w:color w:val="404040"/>
        <w:sz w:val="22"/>
      </w:rPr>
      <w:pPr>
        <w:pBdr/>
        <w:spacing/>
        <w:ind/>
      </w:pPr>
      <w:tblPr>
        <w:tblBorders/>
      </w:tblPr>
      <w:tcPr>
        <w:tcBorders>
          <w:left w:val="single" w:color="b2a1c6" w:themeColor="accent4" w:themeTint="9A" w:sz="12" w:space="0"/>
        </w:tcBorders>
      </w:tcPr>
    </w:tblStylePr>
    <w:tblStylePr w:type="lastRow">
      <w:rPr>
        <w:rFonts w:ascii="Arial" w:hAnsi="Arial"/>
        <w:color w:val="404040"/>
        <w:sz w:val="22"/>
      </w:rPr>
      <w:pPr>
        <w:pBdr/>
        <w:spacing/>
        <w:ind/>
      </w:pPr>
      <w:tblPr>
        <w:tblBorders/>
      </w:tblPr>
      <w:tcPr>
        <w:tcBorders>
          <w:top w:val="single" w:color="b2a1c6"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1" w:customStyle="1">
    <w:name w:val="Bordered - Accent 5"/>
    <w:basedOn w:val="956"/>
    <w:uiPriority w:val="99"/>
    <w:pPr>
      <w:pBdr/>
      <w:spacing/>
      <w:ind/>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92ccdc" w:themeColor="accent5" w:themeTint="9A" w:sz="12" w:space="0"/>
        </w:tcBorders>
      </w:tcPr>
    </w:tblStylePr>
    <w:tblStylePr w:type="lastCol">
      <w:rPr>
        <w:rFonts w:ascii="Arial" w:hAnsi="Arial"/>
        <w:color w:val="404040"/>
        <w:sz w:val="22"/>
      </w:rPr>
      <w:pPr>
        <w:pBdr/>
        <w:spacing/>
        <w:ind/>
      </w:pPr>
      <w:tblPr>
        <w:tblBorders/>
      </w:tblPr>
      <w:tcPr>
        <w:tcBorders>
          <w:left w:val="single" w:color="92ccdc" w:themeColor="accent5" w:themeTint="9A" w:sz="12" w:space="0"/>
        </w:tcBorders>
      </w:tcPr>
    </w:tblStylePr>
    <w:tblStylePr w:type="lastRow">
      <w:rPr>
        <w:rFonts w:ascii="Arial" w:hAnsi="Arial"/>
        <w:color w:val="404040"/>
        <w:sz w:val="22"/>
      </w:rPr>
      <w:pPr>
        <w:pBdr/>
        <w:spacing/>
        <w:ind/>
      </w:pPr>
      <w:tblPr>
        <w:tblBorders/>
      </w:tblPr>
      <w:tcPr>
        <w:tcBorders>
          <w:top w:val="single" w:color="92ccdc"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2" w:customStyle="1">
    <w:name w:val="Bordered - Accent 6"/>
    <w:basedOn w:val="956"/>
    <w:uiPriority w:val="99"/>
    <w:pPr>
      <w:pBdr/>
      <w:spacing/>
      <w:ind/>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ac090" w:themeColor="accent6" w:themeTint="98" w:sz="12" w:space="0"/>
        </w:tcBorders>
      </w:tcPr>
    </w:tblStylePr>
    <w:tblStylePr w:type="lastCol">
      <w:rPr>
        <w:rFonts w:ascii="Arial" w:hAnsi="Arial"/>
        <w:color w:val="404040"/>
        <w:sz w:val="22"/>
      </w:rPr>
      <w:pPr>
        <w:pBdr/>
        <w:spacing/>
        <w:ind/>
      </w:pPr>
      <w:tblPr>
        <w:tblBorders/>
      </w:tblPr>
      <w:tcPr>
        <w:tcBorders>
          <w:left w:val="single" w:color="fac090" w:themeColor="accent6" w:themeTint="98" w:sz="12" w:space="0"/>
        </w:tcBorders>
      </w:tcPr>
    </w:tblStylePr>
    <w:tblStylePr w:type="lastRow">
      <w:rPr>
        <w:rFonts w:ascii="Arial" w:hAnsi="Arial"/>
        <w:color w:val="404040"/>
        <w:sz w:val="22"/>
      </w:rPr>
      <w:pPr>
        <w:pBdr/>
        <w:spacing/>
        <w:ind/>
      </w:pPr>
      <w:tblPr>
        <w:tblBorders/>
      </w:tblPr>
      <w:tcPr>
        <w:tcBorders>
          <w:top w:val="single" w:color="fac09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83" w:customStyle="1">
    <w:name w:val="Heading 4 Char"/>
    <w:basedOn w:val="955"/>
    <w:link w:val="949"/>
    <w:uiPriority w:val="9"/>
    <w:pPr>
      <w:pBdr/>
      <w:spacing/>
      <w:ind/>
    </w:pPr>
    <w:rPr>
      <w:rFonts w:ascii="Arial" w:hAnsi="Arial" w:eastAsia="Arial" w:cs="Arial"/>
      <w:i/>
      <w:iCs/>
      <w:color w:val="365f91" w:themeColor="accent1" w:themeShade="BF"/>
    </w:rPr>
  </w:style>
  <w:style w:type="character" w:styleId="1084" w:customStyle="1">
    <w:name w:val="Heading 5 Char"/>
    <w:basedOn w:val="955"/>
    <w:link w:val="950"/>
    <w:uiPriority w:val="9"/>
    <w:pPr>
      <w:pBdr/>
      <w:spacing/>
      <w:ind/>
    </w:pPr>
    <w:rPr>
      <w:rFonts w:ascii="Arial" w:hAnsi="Arial" w:eastAsia="Arial" w:cs="Arial"/>
      <w:color w:val="365f91" w:themeColor="accent1" w:themeShade="BF"/>
    </w:rPr>
  </w:style>
  <w:style w:type="character" w:styleId="1085" w:customStyle="1">
    <w:name w:val="Heading 6 Char"/>
    <w:basedOn w:val="955"/>
    <w:link w:val="951"/>
    <w:uiPriority w:val="9"/>
    <w:pPr>
      <w:pBdr/>
      <w:spacing/>
      <w:ind/>
    </w:pPr>
    <w:rPr>
      <w:rFonts w:ascii="Arial" w:hAnsi="Arial" w:eastAsia="Arial" w:cs="Arial"/>
      <w:i/>
      <w:iCs/>
      <w:color w:val="595959" w:themeColor="text1" w:themeTint="A6"/>
    </w:rPr>
  </w:style>
  <w:style w:type="character" w:styleId="1086" w:customStyle="1">
    <w:name w:val="Heading 7 Char"/>
    <w:basedOn w:val="955"/>
    <w:link w:val="952"/>
    <w:uiPriority w:val="9"/>
    <w:pPr>
      <w:pBdr/>
      <w:spacing/>
      <w:ind/>
    </w:pPr>
    <w:rPr>
      <w:rFonts w:ascii="Arial" w:hAnsi="Arial" w:eastAsia="Arial" w:cs="Arial"/>
      <w:color w:val="595959" w:themeColor="text1" w:themeTint="A6"/>
    </w:rPr>
  </w:style>
  <w:style w:type="paragraph" w:styleId="1087">
    <w:name w:val="Subtitle"/>
    <w:basedOn w:val="945"/>
    <w:next w:val="945"/>
    <w:link w:val="1088"/>
    <w:uiPriority w:val="11"/>
    <w:qFormat/>
    <w:pPr>
      <w:numPr>
        <w:ilvl w:val="1"/>
      </w:numPr>
      <w:pBdr/>
      <w:spacing/>
      <w:ind/>
    </w:pPr>
    <w:rPr>
      <w:color w:val="595959" w:themeColor="text1" w:themeTint="A6"/>
      <w:spacing w:val="15"/>
      <w:sz w:val="28"/>
      <w:szCs w:val="28"/>
    </w:rPr>
  </w:style>
  <w:style w:type="character" w:styleId="1088" w:customStyle="1">
    <w:name w:val="Subtitle Char"/>
    <w:basedOn w:val="955"/>
    <w:link w:val="1087"/>
    <w:uiPriority w:val="11"/>
    <w:pPr>
      <w:pBdr/>
      <w:spacing/>
      <w:ind/>
    </w:pPr>
    <w:rPr>
      <w:color w:val="595959" w:themeColor="text1" w:themeTint="A6"/>
      <w:spacing w:val="15"/>
      <w:sz w:val="28"/>
      <w:szCs w:val="28"/>
    </w:rPr>
  </w:style>
  <w:style w:type="paragraph" w:styleId="1089">
    <w:name w:val="Quote"/>
    <w:basedOn w:val="945"/>
    <w:next w:val="945"/>
    <w:link w:val="1090"/>
    <w:uiPriority w:val="29"/>
    <w:qFormat/>
    <w:pPr>
      <w:pBdr/>
      <w:spacing w:before="160"/>
      <w:ind/>
      <w:jc w:val="center"/>
    </w:pPr>
    <w:rPr>
      <w:i/>
      <w:iCs/>
      <w:color w:val="404040" w:themeColor="text1" w:themeTint="BF"/>
    </w:rPr>
  </w:style>
  <w:style w:type="character" w:styleId="1090" w:customStyle="1">
    <w:name w:val="Quote Char"/>
    <w:basedOn w:val="955"/>
    <w:link w:val="1089"/>
    <w:uiPriority w:val="29"/>
    <w:pPr>
      <w:pBdr/>
      <w:spacing/>
      <w:ind/>
    </w:pPr>
    <w:rPr>
      <w:i/>
      <w:iCs/>
      <w:color w:val="404040" w:themeColor="text1" w:themeTint="BF"/>
    </w:rPr>
  </w:style>
  <w:style w:type="character" w:styleId="1091">
    <w:name w:val="Intense Emphasis"/>
    <w:basedOn w:val="955"/>
    <w:uiPriority w:val="21"/>
    <w:qFormat/>
    <w:pPr>
      <w:pBdr/>
      <w:spacing/>
      <w:ind/>
    </w:pPr>
    <w:rPr>
      <w:i/>
      <w:iCs/>
      <w:color w:val="365f91" w:themeColor="accent1" w:themeShade="BF"/>
    </w:rPr>
  </w:style>
  <w:style w:type="paragraph" w:styleId="1092">
    <w:name w:val="Intense Quote"/>
    <w:basedOn w:val="945"/>
    <w:next w:val="945"/>
    <w:link w:val="1093"/>
    <w:uiPriority w:val="30"/>
    <w:qFormat/>
    <w:pPr>
      <w:pBdr>
        <w:top w:val="single" w:color="365f91" w:themeColor="accent1" w:themeShade="BF" w:sz="4" w:space="10"/>
        <w:bottom w:val="single" w:color="365f91" w:themeColor="accent1" w:themeShade="BF" w:sz="4" w:space="10"/>
      </w:pBdr>
      <w:spacing w:after="360" w:before="360"/>
      <w:ind w:right="864" w:left="864"/>
      <w:jc w:val="center"/>
    </w:pPr>
    <w:rPr>
      <w:i/>
      <w:iCs/>
      <w:color w:val="365f91" w:themeColor="accent1" w:themeShade="BF"/>
    </w:rPr>
  </w:style>
  <w:style w:type="character" w:styleId="1093" w:customStyle="1">
    <w:name w:val="Intense Quote Char"/>
    <w:basedOn w:val="955"/>
    <w:link w:val="1092"/>
    <w:uiPriority w:val="30"/>
    <w:pPr>
      <w:pBdr/>
      <w:spacing/>
      <w:ind/>
    </w:pPr>
    <w:rPr>
      <w:i/>
      <w:iCs/>
      <w:color w:val="365f91" w:themeColor="accent1" w:themeShade="BF"/>
    </w:rPr>
  </w:style>
  <w:style w:type="character" w:styleId="1094">
    <w:name w:val="Intense Reference"/>
    <w:basedOn w:val="955"/>
    <w:uiPriority w:val="32"/>
    <w:qFormat/>
    <w:pPr>
      <w:pBdr/>
      <w:spacing/>
      <w:ind/>
    </w:pPr>
    <w:rPr>
      <w:b/>
      <w:bCs/>
      <w:smallCaps/>
      <w:color w:val="365f91" w:themeColor="accent1" w:themeShade="BF"/>
      <w:spacing w:val="5"/>
    </w:rPr>
  </w:style>
  <w:style w:type="paragraph" w:styleId="1095">
    <w:name w:val="No Spacing"/>
    <w:basedOn w:val="945"/>
    <w:uiPriority w:val="1"/>
    <w:qFormat/>
    <w:pPr>
      <w:pBdr/>
      <w:spacing w:line="240" w:lineRule="auto"/>
      <w:ind/>
    </w:pPr>
  </w:style>
  <w:style w:type="character" w:styleId="1096">
    <w:name w:val="Subtle Emphasis"/>
    <w:basedOn w:val="955"/>
    <w:uiPriority w:val="19"/>
    <w:qFormat/>
    <w:pPr>
      <w:pBdr/>
      <w:spacing/>
      <w:ind/>
    </w:pPr>
    <w:rPr>
      <w:i/>
      <w:iCs/>
      <w:color w:val="404040" w:themeColor="text1" w:themeTint="BF"/>
    </w:rPr>
  </w:style>
  <w:style w:type="character" w:styleId="1097">
    <w:name w:val="Emphasis"/>
    <w:basedOn w:val="955"/>
    <w:uiPriority w:val="20"/>
    <w:qFormat/>
    <w:pPr>
      <w:pBdr/>
      <w:spacing/>
      <w:ind/>
    </w:pPr>
    <w:rPr>
      <w:i/>
      <w:iCs/>
    </w:rPr>
  </w:style>
  <w:style w:type="character" w:styleId="1098">
    <w:name w:val="Subtle Reference"/>
    <w:basedOn w:val="955"/>
    <w:uiPriority w:val="31"/>
    <w:qFormat/>
    <w:pPr>
      <w:pBdr/>
      <w:spacing/>
      <w:ind/>
    </w:pPr>
    <w:rPr>
      <w:smallCaps/>
      <w:color w:val="5a5a5a" w:themeColor="text1" w:themeTint="A5"/>
    </w:rPr>
  </w:style>
  <w:style w:type="character" w:styleId="1099">
    <w:name w:val="Book Title"/>
    <w:basedOn w:val="955"/>
    <w:uiPriority w:val="33"/>
    <w:qFormat/>
    <w:pPr>
      <w:pBdr/>
      <w:spacing/>
      <w:ind/>
    </w:pPr>
    <w:rPr>
      <w:b/>
      <w:bCs/>
      <w:i/>
      <w:iCs/>
      <w:spacing w:val="5"/>
    </w:rPr>
  </w:style>
  <w:style w:type="paragraph" w:styleId="1100">
    <w:name w:val="Caption"/>
    <w:basedOn w:val="945"/>
    <w:next w:val="945"/>
    <w:uiPriority w:val="35"/>
    <w:unhideWhenUsed/>
    <w:qFormat/>
    <w:pPr>
      <w:pBdr/>
      <w:spacing w:after="200" w:line="240" w:lineRule="auto"/>
      <w:ind/>
    </w:pPr>
    <w:rPr>
      <w:i/>
      <w:iCs/>
      <w:color w:val="1f497d" w:themeColor="text2"/>
      <w:sz w:val="18"/>
      <w:szCs w:val="18"/>
    </w:rPr>
  </w:style>
  <w:style w:type="paragraph" w:styleId="1101">
    <w:name w:val="footnote text"/>
    <w:basedOn w:val="945"/>
    <w:link w:val="1102"/>
    <w:uiPriority w:val="99"/>
    <w:semiHidden/>
    <w:unhideWhenUsed/>
    <w:pPr>
      <w:pBdr/>
      <w:spacing w:line="240" w:lineRule="auto"/>
      <w:ind/>
    </w:pPr>
    <w:rPr>
      <w:sz w:val="20"/>
      <w:szCs w:val="20"/>
    </w:rPr>
  </w:style>
  <w:style w:type="character" w:styleId="1102" w:customStyle="1">
    <w:name w:val="Footnote Text Char"/>
    <w:basedOn w:val="955"/>
    <w:link w:val="1101"/>
    <w:uiPriority w:val="99"/>
    <w:semiHidden/>
    <w:pPr>
      <w:pBdr/>
      <w:spacing/>
      <w:ind/>
    </w:pPr>
    <w:rPr>
      <w:sz w:val="20"/>
      <w:szCs w:val="20"/>
    </w:rPr>
  </w:style>
  <w:style w:type="character" w:styleId="1103">
    <w:name w:val="footnote reference"/>
    <w:basedOn w:val="955"/>
    <w:uiPriority w:val="99"/>
    <w:semiHidden/>
    <w:unhideWhenUsed/>
    <w:pPr>
      <w:pBdr/>
      <w:spacing/>
      <w:ind/>
    </w:pPr>
    <w:rPr>
      <w:vertAlign w:val="superscript"/>
    </w:rPr>
  </w:style>
  <w:style w:type="paragraph" w:styleId="1104">
    <w:name w:val="endnote text"/>
    <w:basedOn w:val="945"/>
    <w:link w:val="1105"/>
    <w:uiPriority w:val="99"/>
    <w:semiHidden/>
    <w:unhideWhenUsed/>
    <w:pPr>
      <w:pBdr/>
      <w:spacing w:line="240" w:lineRule="auto"/>
      <w:ind/>
    </w:pPr>
    <w:rPr>
      <w:sz w:val="20"/>
      <w:szCs w:val="20"/>
    </w:rPr>
  </w:style>
  <w:style w:type="character" w:styleId="1105" w:customStyle="1">
    <w:name w:val="Endnote Text Char"/>
    <w:basedOn w:val="955"/>
    <w:link w:val="1104"/>
    <w:uiPriority w:val="99"/>
    <w:semiHidden/>
    <w:pPr>
      <w:pBdr/>
      <w:spacing/>
      <w:ind/>
    </w:pPr>
    <w:rPr>
      <w:sz w:val="20"/>
      <w:szCs w:val="20"/>
    </w:rPr>
  </w:style>
  <w:style w:type="character" w:styleId="1106">
    <w:name w:val="endnote reference"/>
    <w:basedOn w:val="955"/>
    <w:uiPriority w:val="99"/>
    <w:semiHidden/>
    <w:unhideWhenUsed/>
    <w:pPr>
      <w:pBdr/>
      <w:spacing/>
      <w:ind/>
    </w:pPr>
    <w:rPr>
      <w:vertAlign w:val="superscript"/>
    </w:rPr>
  </w:style>
  <w:style w:type="character" w:styleId="1107">
    <w:name w:val="Hyperlink"/>
    <w:basedOn w:val="955"/>
    <w:uiPriority w:val="99"/>
    <w:unhideWhenUsed/>
    <w:pPr>
      <w:pBdr/>
      <w:spacing/>
      <w:ind/>
    </w:pPr>
    <w:rPr>
      <w:color w:val="0000ff" w:themeColor="hyperlink"/>
      <w:u w:val="single"/>
    </w:rPr>
  </w:style>
  <w:style w:type="character" w:styleId="1108">
    <w:name w:val="FollowedHyperlink"/>
    <w:basedOn w:val="955"/>
    <w:uiPriority w:val="99"/>
    <w:semiHidden/>
    <w:unhideWhenUsed/>
    <w:pPr>
      <w:pBdr/>
      <w:spacing/>
      <w:ind/>
    </w:pPr>
    <w:rPr>
      <w:color w:val="800080" w:themeColor="followedHyperlink"/>
      <w:u w:val="single"/>
    </w:rPr>
  </w:style>
  <w:style w:type="paragraph" w:styleId="1109">
    <w:name w:val="toc 1"/>
    <w:basedOn w:val="945"/>
    <w:next w:val="945"/>
    <w:uiPriority w:val="39"/>
    <w:unhideWhenUsed/>
    <w:pPr>
      <w:pBdr/>
      <w:spacing w:after="100"/>
      <w:ind/>
    </w:pPr>
  </w:style>
  <w:style w:type="paragraph" w:styleId="1110">
    <w:name w:val="toc 2"/>
    <w:basedOn w:val="945"/>
    <w:next w:val="945"/>
    <w:uiPriority w:val="39"/>
    <w:unhideWhenUsed/>
    <w:pPr>
      <w:pBdr/>
      <w:spacing w:after="100"/>
      <w:ind w:left="220"/>
    </w:pPr>
  </w:style>
  <w:style w:type="paragraph" w:styleId="1111">
    <w:name w:val="toc 3"/>
    <w:basedOn w:val="945"/>
    <w:next w:val="945"/>
    <w:uiPriority w:val="39"/>
    <w:unhideWhenUsed/>
    <w:pPr>
      <w:pBdr/>
      <w:spacing w:after="100"/>
      <w:ind w:left="440"/>
    </w:pPr>
  </w:style>
  <w:style w:type="paragraph" w:styleId="1112">
    <w:name w:val="toc 4"/>
    <w:basedOn w:val="945"/>
    <w:next w:val="945"/>
    <w:uiPriority w:val="39"/>
    <w:unhideWhenUsed/>
    <w:pPr>
      <w:pBdr/>
      <w:spacing w:after="100"/>
      <w:ind w:left="660"/>
    </w:pPr>
  </w:style>
  <w:style w:type="paragraph" w:styleId="1113">
    <w:name w:val="toc 5"/>
    <w:basedOn w:val="945"/>
    <w:next w:val="945"/>
    <w:uiPriority w:val="39"/>
    <w:unhideWhenUsed/>
    <w:pPr>
      <w:pBdr/>
      <w:spacing w:after="100"/>
      <w:ind w:left="880"/>
    </w:pPr>
  </w:style>
  <w:style w:type="paragraph" w:styleId="1114">
    <w:name w:val="toc 6"/>
    <w:basedOn w:val="945"/>
    <w:next w:val="945"/>
    <w:uiPriority w:val="39"/>
    <w:unhideWhenUsed/>
    <w:pPr>
      <w:pBdr/>
      <w:spacing w:after="100"/>
      <w:ind w:left="1100"/>
    </w:pPr>
  </w:style>
  <w:style w:type="paragraph" w:styleId="1115">
    <w:name w:val="toc 7"/>
    <w:basedOn w:val="945"/>
    <w:next w:val="945"/>
    <w:uiPriority w:val="39"/>
    <w:unhideWhenUsed/>
    <w:pPr>
      <w:pBdr/>
      <w:spacing w:after="100"/>
      <w:ind w:left="1320"/>
    </w:pPr>
  </w:style>
  <w:style w:type="paragraph" w:styleId="1116">
    <w:name w:val="toc 8"/>
    <w:basedOn w:val="945"/>
    <w:next w:val="945"/>
    <w:uiPriority w:val="39"/>
    <w:unhideWhenUsed/>
    <w:pPr>
      <w:pBdr/>
      <w:spacing w:after="100"/>
      <w:ind w:left="1540"/>
    </w:pPr>
  </w:style>
  <w:style w:type="paragraph" w:styleId="1117">
    <w:name w:val="toc 9"/>
    <w:basedOn w:val="945"/>
    <w:next w:val="945"/>
    <w:uiPriority w:val="39"/>
    <w:unhideWhenUsed/>
    <w:pPr>
      <w:pBdr/>
      <w:spacing w:after="100"/>
      <w:ind w:left="1760"/>
    </w:pPr>
  </w:style>
  <w:style w:type="paragraph" w:styleId="1118">
    <w:name w:val="TOC Heading"/>
    <w:uiPriority w:val="39"/>
    <w:unhideWhenUsed/>
    <w:pPr>
      <w:pBdr/>
      <w:spacing/>
      <w:ind/>
    </w:pPr>
  </w:style>
  <w:style w:type="paragraph" w:styleId="1119">
    <w:name w:val="table of figures"/>
    <w:basedOn w:val="945"/>
    <w:next w:val="945"/>
    <w:uiPriority w:val="99"/>
    <w:unhideWhenUsed/>
    <w:pPr>
      <w:pBdr/>
      <w:spacing/>
      <w:ind/>
    </w:pPr>
  </w:style>
  <w:style w:type="character" w:styleId="1120" w:customStyle="1">
    <w:name w:val="Heading 1 Char"/>
    <w:basedOn w:val="955"/>
    <w:link w:val="946"/>
    <w:uiPriority w:val="9"/>
    <w:pPr>
      <w:pBdr/>
      <w:spacing/>
      <w:ind/>
    </w:pPr>
    <w:rPr>
      <w:rFonts w:eastAsia="Times New Roman" w:cs="Arial"/>
      <w:b/>
      <w:bCs/>
      <w:sz w:val="24"/>
      <w:szCs w:val="22"/>
    </w:rPr>
  </w:style>
  <w:style w:type="character" w:styleId="1121" w:customStyle="1">
    <w:name w:val="Heading 2 Char"/>
    <w:basedOn w:val="955"/>
    <w:link w:val="947"/>
    <w:uiPriority w:val="9"/>
    <w:pPr>
      <w:pBdr/>
      <w:spacing/>
      <w:ind/>
    </w:pPr>
    <w:rPr>
      <w:rFonts w:eastAsia="Times New Roman" w:cs="Arial"/>
      <w:b/>
      <w:bCs/>
      <w:sz w:val="24"/>
      <w:szCs w:val="28"/>
    </w:rPr>
  </w:style>
  <w:style w:type="paragraph" w:styleId="1122">
    <w:name w:val="Header"/>
    <w:basedOn w:val="945"/>
    <w:link w:val="1123"/>
    <w:uiPriority w:val="99"/>
    <w:unhideWhenUsed/>
    <w:pPr>
      <w:pBdr/>
      <w:tabs>
        <w:tab w:val="center" w:leader="none" w:pos="4680"/>
        <w:tab w:val="right" w:leader="none" w:pos="9360"/>
      </w:tabs>
      <w:spacing w:line="240" w:lineRule="auto"/>
      <w:ind/>
    </w:pPr>
  </w:style>
  <w:style w:type="character" w:styleId="1123" w:customStyle="1">
    <w:name w:val="Header Char"/>
    <w:basedOn w:val="955"/>
    <w:link w:val="1122"/>
    <w:uiPriority w:val="99"/>
    <w:pPr>
      <w:pBdr/>
      <w:spacing/>
      <w:ind/>
    </w:pPr>
    <w:rPr>
      <w:rFonts w:ascii="Calibri" w:hAnsi="Calibri"/>
      <w:b w:val="0"/>
      <w:sz w:val="24"/>
    </w:rPr>
  </w:style>
  <w:style w:type="paragraph" w:styleId="1124">
    <w:name w:val="Footer"/>
    <w:basedOn w:val="945"/>
    <w:link w:val="1125"/>
    <w:uiPriority w:val="99"/>
    <w:unhideWhenUsed/>
    <w:pPr>
      <w:pBdr/>
      <w:tabs>
        <w:tab w:val="center" w:leader="none" w:pos="4680"/>
        <w:tab w:val="right" w:leader="none" w:pos="9360"/>
      </w:tabs>
      <w:spacing w:before="60" w:line="240" w:lineRule="auto"/>
      <w:ind/>
    </w:pPr>
    <w:rPr>
      <w:b/>
      <w:sz w:val="20"/>
      <w:szCs w:val="20"/>
    </w:rPr>
  </w:style>
  <w:style w:type="character" w:styleId="1125" w:customStyle="1">
    <w:name w:val="Footer Char"/>
    <w:basedOn w:val="955"/>
    <w:link w:val="1124"/>
    <w:uiPriority w:val="99"/>
    <w:pPr>
      <w:pBdr/>
      <w:spacing/>
      <w:ind/>
    </w:pPr>
    <w:rPr>
      <w:rFonts w:eastAsia="Times New Roman" w:cs="Arial"/>
      <w:b/>
    </w:rPr>
  </w:style>
  <w:style w:type="paragraph" w:styleId="1126">
    <w:name w:val="Balloon Text"/>
    <w:basedOn w:val="945"/>
    <w:link w:val="1127"/>
    <w:uiPriority w:val="99"/>
    <w:semiHidden/>
    <w:unhideWhenUsed/>
    <w:pPr>
      <w:pBdr/>
      <w:spacing w:line="240" w:lineRule="auto"/>
      <w:ind/>
    </w:pPr>
    <w:rPr>
      <w:rFonts w:ascii="Tahoma" w:hAnsi="Tahoma" w:cs="Tahoma"/>
      <w:sz w:val="16"/>
      <w:szCs w:val="16"/>
    </w:rPr>
  </w:style>
  <w:style w:type="character" w:styleId="1127" w:customStyle="1">
    <w:name w:val="Balloon Text Char"/>
    <w:basedOn w:val="955"/>
    <w:link w:val="1126"/>
    <w:uiPriority w:val="99"/>
    <w:semiHidden/>
    <w:pPr>
      <w:pBdr/>
      <w:spacing/>
      <w:ind/>
    </w:pPr>
    <w:rPr>
      <w:rFonts w:ascii="Tahoma" w:hAnsi="Tahoma" w:cs="Tahoma"/>
      <w:b w:val="0"/>
      <w:sz w:val="16"/>
      <w:szCs w:val="16"/>
    </w:rPr>
  </w:style>
  <w:style w:type="paragraph" w:styleId="1128">
    <w:name w:val="List Paragraph"/>
    <w:basedOn w:val="945"/>
    <w:uiPriority w:val="34"/>
    <w:qFormat/>
    <w:pPr>
      <w:pBdr/>
      <w:spacing/>
      <w:ind w:left="720"/>
      <w:contextualSpacing w:val="true"/>
    </w:pPr>
  </w:style>
  <w:style w:type="table" w:styleId="1129">
    <w:name w:val="Table Grid"/>
    <w:basedOn w:val="956"/>
    <w:uiPriority w:val="59"/>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30" w:customStyle="1">
    <w:name w:val="Heading 8 Char"/>
    <w:basedOn w:val="955"/>
    <w:link w:val="953"/>
    <w:pPr>
      <w:pBdr/>
      <w:spacing/>
      <w:ind/>
    </w:pPr>
    <w:rPr>
      <w:rFonts w:eastAsia="Times New Roman"/>
      <w:i/>
      <w:iCs/>
      <w:sz w:val="24"/>
      <w:szCs w:val="24"/>
      <w:lang w:val="en-CA"/>
    </w:rPr>
  </w:style>
  <w:style w:type="character" w:styleId="1131" w:customStyle="1">
    <w:name w:val="Heading 3 Char"/>
    <w:basedOn w:val="955"/>
    <w:link w:val="948"/>
    <w:uiPriority w:val="9"/>
    <w:pPr>
      <w:pBdr/>
      <w:spacing/>
      <w:ind/>
    </w:pPr>
    <w:rPr>
      <w:rFonts w:eastAsia="Times New Roman" w:cs="Arial"/>
      <w:b/>
      <w:bCs/>
      <w:sz w:val="26"/>
      <w:szCs w:val="22"/>
    </w:rPr>
  </w:style>
  <w:style w:type="character" w:styleId="1132" w:customStyle="1">
    <w:name w:val="Heading 9 Char"/>
    <w:basedOn w:val="955"/>
    <w:link w:val="954"/>
    <w:uiPriority w:val="9"/>
    <w:pPr>
      <w:pBdr/>
      <w:spacing/>
      <w:ind/>
    </w:pPr>
    <w:rPr>
      <w:rFonts w:asciiTheme="majorHAnsi" w:hAnsiTheme="majorHAnsi" w:eastAsiaTheme="majorEastAsia" w:cstheme="majorBidi"/>
      <w:i/>
      <w:iCs/>
      <w:color w:val="272727" w:themeColor="text1" w:themeTint="D8"/>
      <w:sz w:val="21"/>
      <w:szCs w:val="21"/>
    </w:rPr>
  </w:style>
  <w:style w:type="paragraph" w:styleId="1133" w:customStyle="1">
    <w:name w:val="Source"/>
    <w:basedOn w:val="945"/>
    <w:qFormat/>
    <w:pPr>
      <w:pBdr/>
      <w:spacing/>
      <w:ind w:right="1440"/>
      <w:jc w:val="right"/>
    </w:pPr>
    <w:rPr>
      <w:sz w:val="20"/>
      <w:szCs w:val="24"/>
    </w:rPr>
  </w:style>
  <w:style w:type="paragraph" w:styleId="1134">
    <w:name w:val="Title"/>
    <w:basedOn w:val="945"/>
    <w:next w:val="945"/>
    <w:link w:val="1135"/>
    <w:uiPriority w:val="10"/>
    <w:qFormat/>
    <w:pPr>
      <w:pBdr/>
      <w:spacing w:after="300"/>
      <w:ind/>
      <w:jc w:val="right"/>
    </w:pPr>
    <w:rPr>
      <w:b/>
      <w:smallCaps/>
      <w:sz w:val="32"/>
    </w:rPr>
  </w:style>
  <w:style w:type="character" w:styleId="1135" w:customStyle="1">
    <w:name w:val="Title Char"/>
    <w:basedOn w:val="955"/>
    <w:link w:val="1134"/>
    <w:uiPriority w:val="10"/>
    <w:pPr>
      <w:pBdr/>
      <w:spacing/>
      <w:ind/>
    </w:pPr>
    <w:rPr>
      <w:b/>
      <w:smallCaps/>
      <w:color w:val="000000"/>
      <w:sz w:val="32"/>
      <w:szCs w:val="32"/>
    </w:rPr>
  </w:style>
  <w:style w:type="paragraph" w:styleId="1136" w:customStyle="1">
    <w:name w:val="table text"/>
    <w:basedOn w:val="945"/>
    <w:qFormat/>
    <w:pPr>
      <w:pBdr/>
      <w:spacing w:before="120"/>
      <w:ind/>
    </w:pPr>
  </w:style>
  <w:style w:type="character" w:styleId="1137">
    <w:name w:val="annotation reference"/>
    <w:basedOn w:val="955"/>
    <w:uiPriority w:val="99"/>
    <w:semiHidden/>
    <w:unhideWhenUsed/>
    <w:pPr>
      <w:pBdr/>
      <w:spacing/>
      <w:ind/>
    </w:pPr>
    <w:rPr>
      <w:sz w:val="16"/>
      <w:szCs w:val="16"/>
    </w:rPr>
  </w:style>
  <w:style w:type="paragraph" w:styleId="1138">
    <w:name w:val="annotation text"/>
    <w:basedOn w:val="945"/>
    <w:link w:val="1139"/>
    <w:uiPriority w:val="99"/>
    <w:semiHidden/>
    <w:unhideWhenUsed/>
    <w:pPr>
      <w:pBdr/>
      <w:spacing w:line="240" w:lineRule="auto"/>
      <w:ind/>
    </w:pPr>
    <w:rPr>
      <w:sz w:val="20"/>
      <w:szCs w:val="20"/>
    </w:rPr>
  </w:style>
  <w:style w:type="character" w:styleId="1139" w:customStyle="1">
    <w:name w:val="Comment Text Char"/>
    <w:basedOn w:val="955"/>
    <w:link w:val="1138"/>
    <w:uiPriority w:val="99"/>
    <w:semiHidden/>
    <w:pPr>
      <w:pBdr/>
      <w:spacing/>
      <w:ind/>
    </w:pPr>
    <w:rPr>
      <w:color w:val="000000"/>
    </w:rPr>
  </w:style>
  <w:style w:type="paragraph" w:styleId="1140">
    <w:name w:val="annotation subject"/>
    <w:basedOn w:val="1138"/>
    <w:next w:val="1138"/>
    <w:link w:val="1141"/>
    <w:uiPriority w:val="99"/>
    <w:semiHidden/>
    <w:unhideWhenUsed/>
    <w:pPr>
      <w:pBdr/>
      <w:spacing/>
      <w:ind/>
    </w:pPr>
    <w:rPr>
      <w:b/>
      <w:bCs/>
    </w:rPr>
  </w:style>
  <w:style w:type="character" w:styleId="1141" w:customStyle="1">
    <w:name w:val="Comment Subject Char"/>
    <w:basedOn w:val="1139"/>
    <w:link w:val="1140"/>
    <w:uiPriority w:val="99"/>
    <w:semiHidden/>
    <w:pPr>
      <w:pBdr/>
      <w:spacing/>
      <w:ind/>
    </w:pPr>
    <w:rPr>
      <w:b/>
      <w:bCs/>
      <w:color w:val="000000"/>
    </w:rPr>
  </w:style>
  <w:style w:type="paragraph" w:styleId="1142">
    <w:name w:val="Revision"/>
    <w:hidden/>
    <w:uiPriority w:val="99"/>
    <w:semiHidden/>
    <w:pPr>
      <w:pBdr/>
      <w:spacing/>
      <w:ind/>
    </w:pPr>
    <w:rPr>
      <w:color w:val="000000"/>
      <w:sz w:val="22"/>
      <w:szCs w:val="32"/>
    </w:rPr>
  </w:style>
  <w:style w:type="character" w:styleId="1143">
    <w:name w:val="Strong"/>
    <w:basedOn w:val="955"/>
    <w:uiPriority w:val="22"/>
    <w:qFormat/>
    <w:pPr>
      <w:pBdr/>
      <w:spacing/>
      <w:ind/>
    </w:pPr>
    <w:rPr>
      <w:b/>
      <w:bCs/>
    </w:rPr>
  </w:style>
  <w:style w:type="table" w:styleId="1144" w:customStyle="1">
    <w:name w:val="Table Grid1"/>
    <w:basedOn w:val="956"/>
    <w:next w:val="1129"/>
    <w:uiPriority w:val="59"/>
    <w:pPr>
      <w:pBdr/>
      <w:spacing/>
      <w:ind/>
    </w:pPr>
    <w:rPr>
      <w:rFonts w:ascii="Calibri" w:hAnsi="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45" w:customStyle="1">
    <w:name w:val="SAIT Caption"/>
    <w:basedOn w:val="945"/>
    <w:qFormat/>
    <w:pPr>
      <w:pBdr/>
      <w:spacing w:after="120" w:before="120"/>
      <w:ind/>
      <w:jc w:val="center"/>
    </w:pPr>
    <w:rPr>
      <w:b/>
    </w:rPr>
  </w:style>
  <w:style w:type="paragraph" w:styleId="1146" w:customStyle="1">
    <w:name w:val="SAIT Copyright"/>
    <w:basedOn w:val="1124"/>
    <w:qFormat/>
    <w:pPr>
      <w:pBdr/>
      <w:spacing/>
      <w:ind/>
    </w:pPr>
    <w:rPr>
      <w:b w:val="0"/>
    </w:rPr>
  </w:style>
  <w:style w:type="paragraph" w:styleId="1147" w:customStyle="1">
    <w:name w:val="Page No."/>
    <w:basedOn w:val="1124"/>
    <w:qFormat/>
    <w:pPr>
      <w:pBdr/>
      <w:spacing/>
      <w:ind/>
      <w:jc w:val="right"/>
    </w:pPr>
  </w:style>
  <w:style w:type="paragraph" w:styleId="1148" w:customStyle="1">
    <w:name w:val="Table Heading"/>
    <w:basedOn w:val="945"/>
    <w:qFormat/>
    <w:pPr>
      <w:pBdr/>
      <w:spacing w:after="60" w:before="60"/>
      <w:ind/>
      <w:jc w:val="center"/>
    </w:pPr>
    <w:rPr>
      <w:b/>
    </w:rPr>
  </w:style>
  <w:style w:type="paragraph" w:styleId="1149" w:customStyle="1">
    <w:name w:val="Table Text"/>
    <w:basedOn w:val="945"/>
    <w:qFormat/>
    <w:pPr>
      <w:pBdr/>
      <w:spacing w:after="60" w:before="60"/>
      <w:ind/>
    </w:pPr>
  </w:style>
  <w:style w:type="paragraph" w:styleId="1150" w:customStyle="1">
    <w:name w:val="Column Heading"/>
    <w:basedOn w:val="945"/>
    <w:qFormat/>
    <w:pPr>
      <w:pBdr/>
      <w:spacing w:after="60" w:before="60"/>
      <w:ind/>
      <w:jc w:val="center"/>
    </w:pPr>
    <w:rPr>
      <w:b/>
    </w:rPr>
  </w:style>
  <w:style w:type="paragraph" w:styleId="1151" w:customStyle="1">
    <w:name w:val="Footer Copyright"/>
    <w:basedOn w:val="1146"/>
    <w:qFormat/>
    <w:pPr>
      <w:pBdr/>
      <w:spacing/>
      <w:ind/>
    </w:pPr>
  </w:style>
  <w:style w:type="paragraph" w:styleId="1152" w:customStyle="1">
    <w:name w:val="Copyright Footer"/>
    <w:basedOn w:val="945"/>
    <w:qFormat/>
    <w:pPr>
      <w:pBdr/>
      <w:spacing/>
      <w:ind/>
    </w:pPr>
    <w:rPr>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2.jpg"/><Relationship Id="rId20"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36F32-7943-459B-B257-205181D5531A}">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C37F4D73-57D3-4F91-A4A5-38D32E7F6B8F}">
  <ds:schemaRefs>
    <ds:schemaRef ds:uri="http://schemas.microsoft.com/sharepoint/v3/contenttype/forms"/>
  </ds:schemaRefs>
</ds:datastoreItem>
</file>

<file path=customXml/itemProps3.xml><?xml version="1.0" encoding="utf-8"?>
<ds:datastoreItem xmlns:ds="http://schemas.openxmlformats.org/officeDocument/2006/customXml" ds:itemID="{B81F0A67-29B1-4C34-B35A-DCDD84E2ED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EFC17F-E7D5-4A6A-BE80-075C2B841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SAIT</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scardina</dc:creator>
  <cp:lastModifiedBy>Joti Gill</cp:lastModifiedBy>
  <cp:revision>7</cp:revision>
  <dcterms:created xsi:type="dcterms:W3CDTF">2024-08-20T02:08:00Z</dcterms:created>
  <dcterms:modified xsi:type="dcterms:W3CDTF">2026-05-08T19:23:35Z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