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b/>
          <w:u w:val="single"/>
        </w:rPr>
      </w:pPr>
      <w:r>
        <w:rPr>
          <w:b/>
          <w:u w:val="single"/>
        </w:rPr>
        <w:t xml:space="preserve">ANPH 252 – Worksheet </w:t>
      </w:r>
      <w:r>
        <w:rPr>
          <w:b/>
          <w:u w:val="single"/>
        </w:rPr>
        <w:t xml:space="preserve">Hepatobiliary </w:t>
      </w:r>
      <w:r>
        <w:rPr>
          <w:b/>
          <w:u w:val="single"/>
        </w:rPr>
        <w:t xml:space="preserve">System – ANSWER KEY</w:t>
      </w:r>
      <w:r>
        <w:rPr>
          <w:b/>
          <w:u w:val="single"/>
        </w:rPr>
      </w:r>
    </w:p>
    <w:p>
      <w:pPr>
        <w:pBdr/>
        <w:spacing/>
        <w:ind/>
        <w:rPr>
          <w:b/>
          <w:u w:val="single"/>
        </w:rPr>
      </w:pPr>
      <w:r>
        <w:rPr>
          <w:b/>
          <w:u w:val="single"/>
        </w:rPr>
      </w:r>
      <w:r>
        <w:rPr>
          <w:b/>
          <w:u w:val="single"/>
        </w:rPr>
      </w:r>
    </w:p>
    <w:p>
      <w:pPr>
        <w:pStyle w:val="702"/>
        <w:numPr>
          <w:ilvl w:val="0"/>
          <w:numId w:val="1"/>
        </w:numPr>
        <w:pBdr/>
        <w:spacing w:after="0" w:line="240" w:lineRule="auto"/>
        <w:ind/>
        <w:rPr/>
      </w:pPr>
      <w:r>
        <w:t xml:space="preserve">Which of the following is true regarding the biliary tree?</w:t>
      </w:r>
      <w:r/>
    </w:p>
    <w:p>
      <w:pPr>
        <w:pStyle w:val="702"/>
        <w:pBdr/>
        <w:spacing w:after="0" w:line="240" w:lineRule="auto"/>
        <w:ind/>
        <w:rPr/>
      </w:pPr>
      <w:r/>
      <w:r/>
    </w:p>
    <w:p>
      <w:pPr>
        <w:pStyle w:val="702"/>
        <w:numPr>
          <w:ilvl w:val="1"/>
          <w:numId w:val="1"/>
        </w:numPr>
        <w:pBdr/>
        <w:spacing w:after="0" w:line="240" w:lineRule="auto"/>
        <w:ind/>
        <w:rPr/>
      </w:pPr>
      <w:r>
        <w:t xml:space="preserve">A stone lodged in the common hepatic duct will prevent bile from reaching the left hepatic duct</w:t>
      </w:r>
      <w:r/>
    </w:p>
    <w:p>
      <w:pPr>
        <w:pStyle w:val="702"/>
        <w:numPr>
          <w:ilvl w:val="1"/>
          <w:numId w:val="1"/>
        </w:numPr>
        <w:pBdr/>
        <w:spacing w:after="0" w:line="240" w:lineRule="auto"/>
        <w:ind/>
        <w:rPr/>
      </w:pPr>
      <w:r>
        <w:t xml:space="preserve">A stone lodged in the cystic duct will prevent bile from reaching the left hepatic duct</w:t>
      </w:r>
      <w:r/>
    </w:p>
    <w:p>
      <w:pPr>
        <w:pStyle w:val="702"/>
        <w:numPr>
          <w:ilvl w:val="1"/>
          <w:numId w:val="1"/>
        </w:numPr>
        <w:pBdr/>
        <w:spacing w:after="0" w:line="240" w:lineRule="auto"/>
        <w:ind/>
        <w:rPr/>
      </w:pPr>
      <w:r>
        <w:t xml:space="preserve">A stone lodged in the right hepatic duct will prevent bile from being stored in the gallbladder.</w:t>
      </w:r>
      <w:r/>
    </w:p>
    <w:p>
      <w:pPr>
        <w:pStyle w:val="702"/>
        <w:numPr>
          <w:ilvl w:val="1"/>
          <w:numId w:val="1"/>
        </w:numPr>
        <w:pBdr/>
        <w:spacing w:after="0" w:line="240" w:lineRule="auto"/>
        <w:ind/>
        <w:rPr>
          <w:color w:val="ff0000"/>
        </w:rPr>
      </w:pPr>
      <w:r>
        <w:rPr>
          <w:color w:val="ff0000"/>
        </w:rPr>
        <w:t xml:space="preserve">A stone lodged in the common bile duct will prevent bile from reaching the </w:t>
      </w:r>
      <w:r>
        <w:rPr>
          <w:color w:val="ff0000"/>
        </w:rPr>
        <w:t xml:space="preserve">small intestine</w:t>
      </w:r>
      <w:r>
        <w:rPr>
          <w:color w:val="ff0000"/>
        </w:rPr>
      </w:r>
    </w:p>
    <w:p>
      <w:pPr>
        <w:pStyle w:val="702"/>
        <w:pBdr/>
        <w:spacing w:after="0" w:line="240" w:lineRule="auto"/>
        <w:ind w:left="1440"/>
        <w:rPr>
          <w:color w:val="ff0000"/>
        </w:rPr>
      </w:pPr>
      <w:r>
        <w:rPr>
          <w:color w:val="ff0000"/>
        </w:rPr>
      </w:r>
      <w:r>
        <w:rPr>
          <w:color w:val="ff0000"/>
        </w:rPr>
      </w:r>
    </w:p>
    <w:p>
      <w:pPr>
        <w:pBdr/>
        <w:spacing/>
        <w:ind/>
        <w:rPr/>
      </w:pPr>
      <w:r/>
      <w:r/>
    </w:p>
    <w:p>
      <w:pPr>
        <w:pBdr/>
        <w:spacing/>
        <w:ind/>
        <w:rPr/>
      </w:pPr>
      <w:r>
        <w:t xml:space="preserve">2.  Flow of bile and pancreatic juices through the hepatopancreatic ampulla </w:t>
      </w:r>
      <w:r>
        <w:t xml:space="preserve">is</w:t>
      </w:r>
      <w:r>
        <w:t xml:space="preserve"> regulated by the:</w:t>
      </w:r>
      <w:r/>
    </w:p>
    <w:p>
      <w:pPr>
        <w:pBdr/>
        <w:spacing/>
        <w:ind w:firstLine="1080"/>
        <w:rPr>
          <w:color w:val="ff0000"/>
        </w:rPr>
      </w:pPr>
      <w:r>
        <w:rPr>
          <w:color w:val="ff0000"/>
        </w:rPr>
        <w:t xml:space="preserve">a. Sphincter of </w:t>
      </w:r>
      <w:r>
        <w:rPr>
          <w:color w:val="ff0000"/>
        </w:rPr>
        <w:t xml:space="preserve">oddi</w:t>
      </w:r>
      <w:r>
        <w:rPr>
          <w:color w:val="ff0000"/>
        </w:rPr>
      </w:r>
    </w:p>
    <w:p>
      <w:pPr>
        <w:pBdr/>
        <w:spacing/>
        <w:ind w:firstLine="1080"/>
        <w:rPr/>
      </w:pPr>
      <w:r>
        <w:t xml:space="preserve">b. Cardiac sphincter</w:t>
      </w:r>
      <w:r/>
    </w:p>
    <w:p>
      <w:pPr>
        <w:pBdr/>
        <w:spacing/>
        <w:ind w:firstLine="1080"/>
        <w:rPr/>
      </w:pPr>
      <w:r>
        <w:t xml:space="preserve">c.  </w:t>
      </w:r>
      <w:r>
        <w:t xml:space="preserve">Ampulla of </w:t>
      </w:r>
      <w:r>
        <w:t xml:space="preserve">vater</w:t>
      </w:r>
      <w:r/>
    </w:p>
    <w:p>
      <w:pPr>
        <w:pBdr/>
        <w:spacing/>
        <w:ind w:firstLine="1080"/>
        <w:rPr/>
      </w:pPr>
      <w:r>
        <w:t xml:space="preserve">d.  </w:t>
      </w:r>
      <w:r>
        <w:t xml:space="preserve">Pancreatic duct</w:t>
      </w:r>
      <w:r/>
    </w:p>
    <w:p>
      <w:pPr>
        <w:pBdr/>
        <w:spacing/>
        <w:ind/>
        <w:rPr/>
      </w:pPr>
      <w:r/>
      <w:r/>
    </w:p>
    <w:p>
      <w:pPr>
        <w:pBdr/>
        <w:spacing/>
        <w:ind/>
        <w:rPr/>
      </w:pPr>
      <w:r>
        <w:t xml:space="preserve">3.  </w:t>
      </w:r>
      <w:r>
        <w:t xml:space="preserve">Which </w:t>
      </w:r>
      <w:r>
        <w:t xml:space="preserve">of the following </w:t>
      </w:r>
      <w:r>
        <w:t xml:space="preserve">section</w:t>
      </w:r>
      <w:r>
        <w:t xml:space="preserve">s</w:t>
      </w:r>
      <w:r>
        <w:t xml:space="preserve"> of </w:t>
      </w:r>
      <w:r>
        <w:t xml:space="preserve">a patient’s </w:t>
      </w:r>
      <w:r>
        <w:t xml:space="preserve">digestive system would a </w:t>
      </w:r>
      <w:r>
        <w:t xml:space="preserve">radiologist</w:t>
      </w:r>
      <w:r>
        <w:t xml:space="preserve"> </w:t>
      </w:r>
      <w:r>
        <w:t xml:space="preserve">need to work in, if they wanted to i</w:t>
      </w:r>
      <w:r>
        <w:t xml:space="preserve">ntroduce radiographic contrast into the pancreatic duct</w:t>
      </w:r>
      <w:r>
        <w:t xml:space="preserve">?</w:t>
      </w:r>
      <w:r>
        <w:t xml:space="preserve">  </w:t>
      </w:r>
      <w:r/>
    </w:p>
    <w:p>
      <w:pPr>
        <w:pBdr/>
        <w:spacing/>
        <w:ind w:firstLine="1080"/>
        <w:rPr/>
      </w:pPr>
      <w:r>
        <w:t xml:space="preserve">a. pylorus</w:t>
      </w:r>
      <w:r/>
    </w:p>
    <w:p>
      <w:pPr>
        <w:pBdr/>
        <w:spacing/>
        <w:ind w:firstLine="1080"/>
        <w:rPr>
          <w:color w:val="ff0000"/>
        </w:rPr>
      </w:pPr>
      <w:r>
        <w:rPr>
          <w:color w:val="ff0000"/>
        </w:rPr>
        <w:t xml:space="preserve">b. duodenum</w:t>
      </w:r>
      <w:r>
        <w:rPr>
          <w:color w:val="ff0000"/>
        </w:rPr>
      </w:r>
    </w:p>
    <w:p>
      <w:pPr>
        <w:pBdr/>
        <w:spacing/>
        <w:ind w:firstLine="1080"/>
        <w:rPr/>
      </w:pPr>
      <w:r>
        <w:t xml:space="preserve">c. ileum</w:t>
      </w:r>
      <w:r/>
    </w:p>
    <w:p>
      <w:pPr>
        <w:pBdr/>
        <w:spacing/>
        <w:ind w:firstLine="1080"/>
        <w:rPr/>
      </w:pPr>
      <w:r>
        <w:t xml:space="preserve">d. jejunum</w:t>
      </w:r>
      <w:r/>
    </w:p>
    <w:p>
      <w:pPr>
        <w:pBdr/>
        <w:spacing/>
        <w:ind/>
        <w:rPr/>
      </w:pPr>
      <w:r/>
      <w:r/>
    </w:p>
    <w:p>
      <w:pPr>
        <w:pBdr/>
        <w:spacing/>
        <w:ind/>
        <w:rPr/>
      </w:pPr>
      <w:r>
        <w:t xml:space="preserve">4.  From the following list, circle the veins which are most likely to exhibit increased flow as a result of portal hypertension:</w:t>
      </w:r>
      <w:r/>
    </w:p>
    <w:p>
      <w:pPr>
        <w:pBdr/>
        <w:tabs>
          <w:tab w:val="left" w:leader="none" w:pos="4400"/>
        </w:tabs>
        <w:spacing/>
        <w:ind w:firstLine="1080"/>
        <w:rPr/>
      </w:pPr>
      <w:r>
        <w:t xml:space="preserve">a. renal veins</w:t>
      </w:r>
      <w:r>
        <w:tab/>
      </w:r>
      <w:r>
        <w:t xml:space="preserve">d. hepatic veins</w:t>
      </w:r>
      <w:r/>
    </w:p>
    <w:p>
      <w:pPr>
        <w:pBdr/>
        <w:tabs>
          <w:tab w:val="left" w:leader="none" w:pos="4400"/>
        </w:tabs>
        <w:spacing/>
        <w:ind w:firstLine="1080"/>
        <w:rPr/>
      </w:pPr>
      <w:r>
        <w:rPr>
          <w:color w:val="ff0000"/>
        </w:rPr>
        <w:t xml:space="preserve">b. splenic veins</w:t>
      </w:r>
      <w:r>
        <w:tab/>
      </w:r>
      <w:r>
        <w:rPr>
          <w:color w:val="ff0000"/>
        </w:rPr>
        <w:t xml:space="preserve">e. gastric veins</w:t>
      </w:r>
      <w:r/>
    </w:p>
    <w:p>
      <w:pPr>
        <w:pBdr/>
        <w:tabs>
          <w:tab w:val="left" w:leader="none" w:pos="4400"/>
        </w:tabs>
        <w:spacing/>
        <w:ind w:firstLine="1080"/>
        <w:rPr/>
      </w:pPr>
      <w:r>
        <w:rPr>
          <w:color w:val="ff0000"/>
        </w:rPr>
        <w:t xml:space="preserve">c. esophageal veins</w:t>
      </w:r>
      <w:r>
        <w:tab/>
      </w:r>
      <w:r>
        <w:t xml:space="preserve">f. common iliac veins</w:t>
      </w:r>
      <w:r/>
    </w:p>
    <w:p>
      <w:pPr>
        <w:pBdr/>
        <w:tabs>
          <w:tab w:val="left" w:leader="none" w:pos="4400"/>
        </w:tabs>
        <w:spacing/>
        <w:ind w:firstLine="1080"/>
        <w:rPr/>
      </w:pPr>
      <w:r/>
      <w:r/>
    </w:p>
    <w:p>
      <w:pPr>
        <w:pBdr/>
        <w:spacing/>
        <w:ind/>
        <w:rPr/>
      </w:pPr>
      <w:r>
        <w:t xml:space="preserve">5</w:t>
      </w:r>
      <w:r>
        <w:t xml:space="preserve">.   </w:t>
      </w:r>
      <w:r>
        <w:t xml:space="preserve">From the following list, circle the organs that </w:t>
      </w:r>
      <w:r>
        <w:rPr>
          <w:color w:val="ff0000"/>
          <w:u w:val="single"/>
        </w:rPr>
        <w:t xml:space="preserve">produce</w:t>
      </w:r>
      <w:r>
        <w:t xml:space="preserve"> digestive</w:t>
      </w:r>
      <w:r>
        <w:t xml:space="preserve"> chemicals</w:t>
      </w:r>
      <w:r>
        <w:t xml:space="preserve">:</w:t>
      </w:r>
      <w:r/>
    </w:p>
    <w:p>
      <w:pPr>
        <w:pBdr/>
        <w:spacing/>
        <w:ind w:firstLine="1080"/>
        <w:rPr>
          <w:color w:val="ff0000"/>
        </w:rPr>
      </w:pPr>
      <w:r>
        <w:rPr>
          <w:color w:val="ff0000"/>
        </w:rPr>
        <w:t xml:space="preserve">a. stomach</w:t>
      </w:r>
      <w:r>
        <w:rPr>
          <w:color w:val="ff0000"/>
        </w:rPr>
      </w:r>
    </w:p>
    <w:p>
      <w:pPr>
        <w:pBdr/>
        <w:spacing/>
        <w:ind w:firstLine="1080"/>
        <w:rPr/>
      </w:pPr>
      <w:r>
        <w:t xml:space="preserve">b. spleen</w:t>
      </w:r>
      <w:r/>
    </w:p>
    <w:p>
      <w:pPr>
        <w:pBdr/>
        <w:spacing/>
        <w:ind w:firstLine="1080"/>
        <w:rPr>
          <w:color w:val="ff0000"/>
        </w:rPr>
      </w:pPr>
      <w:r>
        <w:rPr>
          <w:color w:val="ff0000"/>
        </w:rPr>
        <w:t xml:space="preserve">c. liver</w:t>
      </w:r>
      <w:r>
        <w:rPr>
          <w:color w:val="ff0000"/>
        </w:rPr>
      </w:r>
    </w:p>
    <w:p>
      <w:pPr>
        <w:pBdr/>
        <w:spacing/>
        <w:ind w:firstLine="1080"/>
        <w:rPr>
          <w:color w:val="000000" w:themeColor="text1"/>
        </w:rPr>
      </w:pPr>
      <w:r>
        <w:rPr>
          <w:color w:val="000000" w:themeColor="text1"/>
        </w:rPr>
        <w:t xml:space="preserve">d. gallbladder</w:t>
      </w:r>
      <w:r>
        <w:rPr>
          <w:color w:val="000000" w:themeColor="text1"/>
        </w:rPr>
      </w:r>
    </w:p>
    <w:p>
      <w:pPr>
        <w:pBdr/>
        <w:spacing/>
        <w:ind w:firstLine="1080"/>
        <w:rPr>
          <w:color w:val="ff0000"/>
        </w:rPr>
      </w:pPr>
      <w:r>
        <w:rPr>
          <w:color w:val="ff0000"/>
        </w:rPr>
        <w:t xml:space="preserve">e. pancreas</w:t>
      </w:r>
      <w:r>
        <w:rPr>
          <w:color w:val="ff0000"/>
        </w:rPr>
      </w:r>
    </w:p>
    <w:p>
      <w:pPr>
        <w:pBdr/>
        <w:spacing/>
        <w:ind/>
        <w:rPr/>
      </w:pPr>
      <w:r/>
      <w:r/>
    </w:p>
    <w:p>
      <w:pPr>
        <w:pBdr/>
        <w:spacing/>
        <w:ind/>
        <w:rPr/>
      </w:pPr>
      <w:r>
        <w:t xml:space="preserve">6</w:t>
      </w:r>
      <w:r>
        <w:t xml:space="preserve">.  Does hepatitis always lead to cirrhosis?</w:t>
      </w:r>
      <w:r>
        <w:t xml:space="preserve"> </w:t>
      </w:r>
      <w:r>
        <w:rPr>
          <w:color w:val="ff0000"/>
        </w:rPr>
        <w:t xml:space="preserve">No; hepatitis A </w:t>
      </w:r>
      <w:r>
        <w:rPr>
          <w:color w:val="ff0000"/>
        </w:rPr>
        <w:t xml:space="preserve">do</w:t>
      </w:r>
      <w:r>
        <w:rPr>
          <w:color w:val="ff0000"/>
        </w:rPr>
        <w:t xml:space="preserve">es</w:t>
      </w:r>
      <w:r>
        <w:rPr>
          <w:color w:val="ff0000"/>
        </w:rPr>
        <w:t xml:space="preserve"> not progress to cirrhosis, and if B</w:t>
      </w:r>
      <w:r>
        <w:rPr>
          <w:color w:val="ff0000"/>
        </w:rPr>
        <w:t xml:space="preserve"> and C</w:t>
      </w:r>
      <w:r>
        <w:rPr>
          <w:color w:val="ff0000"/>
        </w:rPr>
        <w:t xml:space="preserve"> are c</w:t>
      </w:r>
      <w:r>
        <w:rPr>
          <w:color w:val="ff0000"/>
        </w:rPr>
        <w:t xml:space="preserve">ontrolled by antiviral medication</w:t>
      </w:r>
      <w:r>
        <w:rPr>
          <w:color w:val="ff0000"/>
        </w:rPr>
        <w:t xml:space="preserve"> they won’t either.</w:t>
      </w:r>
      <w:r>
        <w:rPr>
          <w:color w:val="ff0000"/>
        </w:rPr>
        <w:t xml:space="preserve"> </w:t>
      </w:r>
      <w:r/>
    </w:p>
    <w:p>
      <w:pPr>
        <w:pBdr/>
        <w:spacing/>
        <w:ind/>
        <w:rPr/>
      </w:pPr>
      <w:r/>
      <w:r/>
    </w:p>
    <w:p>
      <w:pPr>
        <w:pBdr/>
        <w:spacing/>
        <w:ind/>
        <w:rPr>
          <w:color w:val="ff0000"/>
        </w:rPr>
      </w:pPr>
      <w:r>
        <w:t xml:space="preserve">7</w:t>
      </w:r>
      <w:r>
        <w:t xml:space="preserve">.  </w:t>
      </w:r>
      <w:r>
        <w:t xml:space="preserve">Explain the difference between ascites and edema.</w:t>
      </w:r>
      <w:r>
        <w:t xml:space="preserve">  </w:t>
      </w:r>
      <w:r>
        <w:rPr>
          <w:color w:val="ff0000"/>
        </w:rPr>
        <w:t xml:space="preserve">Ascites is free fluid in the peritoneal cavity</w:t>
      </w:r>
      <w:r>
        <w:rPr>
          <w:color w:val="ff0000"/>
        </w:rPr>
        <w:t xml:space="preserve">;</w:t>
      </w:r>
      <w:r>
        <w:rPr>
          <w:color w:val="ff0000"/>
        </w:rPr>
        <w:t xml:space="preserve"> </w:t>
      </w:r>
      <w:r>
        <w:rPr>
          <w:color w:val="ff0000"/>
        </w:rPr>
        <w:t xml:space="preserve">E</w:t>
      </w:r>
      <w:r>
        <w:rPr>
          <w:color w:val="ff0000"/>
        </w:rPr>
        <w:t xml:space="preserve">dema is excess fluid trapped in the interstitial spaces </w:t>
      </w:r>
      <w:r>
        <w:rPr>
          <w:color w:val="ff0000"/>
        </w:rPr>
        <w:t xml:space="preserve">and can occur </w:t>
      </w:r>
      <w:r>
        <w:rPr>
          <w:color w:val="ff0000"/>
        </w:rPr>
        <w:t xml:space="preserve">anywhere in the body</w:t>
      </w:r>
      <w:r>
        <w:rPr>
          <w:color w:val="ff0000"/>
        </w:rPr>
      </w:r>
    </w:p>
    <w:p>
      <w:pPr>
        <w:pBdr/>
        <w:spacing/>
        <w:ind/>
        <w:rPr/>
      </w:pPr>
      <w:r/>
      <w:r/>
    </w:p>
    <w:p>
      <w:pPr>
        <w:pBdr/>
        <w:spacing/>
        <w:ind/>
        <w:rPr>
          <w:color w:val="ff0000"/>
        </w:rPr>
      </w:pPr>
      <w:r>
        <w:t xml:space="preserve">8</w:t>
      </w:r>
      <w:r>
        <w:t xml:space="preserve">. Why is ascites life threatening?</w:t>
      </w:r>
      <w:r>
        <w:t xml:space="preserve"> </w:t>
      </w:r>
      <w:r>
        <w:rPr>
          <w:color w:val="ff0000"/>
        </w:rPr>
        <w:t xml:space="preserve">Because it causes compression of internal struct</w:t>
      </w:r>
      <w:r>
        <w:rPr>
          <w:color w:val="ff0000"/>
        </w:rPr>
        <w:t xml:space="preserve">u</w:t>
      </w:r>
      <w:r>
        <w:rPr>
          <w:color w:val="ff0000"/>
        </w:rPr>
        <w:t xml:space="preserve">res, and compromises their function</w:t>
      </w:r>
      <w:r>
        <w:rPr>
          <w:color w:val="ff0000"/>
        </w:rPr>
        <w:t xml:space="preserve">, or can cause structures to “</w:t>
      </w:r>
      <w:r>
        <w:rPr>
          <w:color w:val="ff0000"/>
        </w:rPr>
        <w:t xml:space="preserve">float”</w:t>
      </w:r>
      <w:r>
        <w:rPr>
          <w:color w:val="ff0000"/>
        </w:rPr>
        <w:t xml:space="preserve">in</w:t>
      </w:r>
      <w:r>
        <w:rPr>
          <w:color w:val="ff0000"/>
        </w:rPr>
        <w:t xml:space="preserve"> the peritoneal cavity </w:t>
      </w:r>
      <w:r>
        <w:rPr>
          <w:color w:val="ff0000"/>
        </w:rPr>
        <w:t xml:space="preserve">and become damaged</w:t>
      </w:r>
      <w:r>
        <w:rPr>
          <w:color w:val="ff0000"/>
        </w:rPr>
        <w:t xml:space="preserve">.</w:t>
      </w:r>
      <w:r>
        <w:rPr>
          <w:color w:val="ff0000"/>
        </w:rPr>
      </w:r>
    </w:p>
    <w:p>
      <w:pPr>
        <w:pBdr/>
        <w:spacing/>
        <w:ind w:hanging="270" w:left="270"/>
        <w:rPr/>
      </w:pPr>
      <w:r/>
      <w:r/>
    </w:p>
    <w:p>
      <w:pPr>
        <w:pBdr/>
        <w:spacing/>
        <w:ind w:hanging="270" w:left="270"/>
        <w:rPr/>
      </w:pPr>
      <w:r>
        <w:t xml:space="preserve">9.</w:t>
      </w:r>
      <w:r>
        <w:t xml:space="preserve">  </w:t>
      </w:r>
      <w:r>
        <w:t xml:space="preserve">The medical term for gallstones is</w:t>
      </w:r>
      <w:r>
        <w:t xml:space="preserve"> </w:t>
      </w:r>
      <w:r>
        <w:rPr>
          <w:color w:val="ff0000"/>
        </w:rPr>
        <w:t xml:space="preserve">cholelithiasis</w:t>
      </w:r>
      <w:r>
        <w:t xml:space="preserve">.</w:t>
      </w:r>
      <w:r/>
    </w:p>
    <w:p>
      <w:pPr>
        <w:pBdr/>
        <w:spacing/>
        <w:ind w:hanging="270" w:left="270"/>
        <w:rPr/>
      </w:pPr>
      <w:r/>
      <w:r/>
    </w:p>
    <w:p>
      <w:pPr>
        <w:pBdr/>
        <w:spacing/>
        <w:ind w:hanging="270" w:left="270"/>
        <w:rPr/>
      </w:pPr>
      <w:r>
        <w:t xml:space="preserve">1</w:t>
      </w:r>
      <w:r>
        <w:t xml:space="preserve">0</w:t>
      </w:r>
      <w:r>
        <w:t xml:space="preserve">.  What quadrant of the abdomen would you need to focus the c-arm over to visualize the biliary tree </w:t>
      </w:r>
      <w:r>
        <w:t xml:space="preserve">“</w:t>
      </w:r>
      <w:r>
        <w:t xml:space="preserve">post cholecystectomy</w:t>
      </w:r>
      <w:r>
        <w:t xml:space="preserve">”</w:t>
      </w:r>
      <w:r>
        <w:t xml:space="preserve">?</w:t>
      </w:r>
      <w:r>
        <w:t xml:space="preserve"> </w:t>
      </w:r>
      <w:r>
        <w:rPr>
          <w:color w:val="ff0000"/>
        </w:rPr>
        <w:t xml:space="preserve">RUQ</w:t>
      </w:r>
      <w:r/>
    </w:p>
    <w:p>
      <w:pPr>
        <w:pBdr/>
        <w:spacing/>
        <w:ind w:hanging="270" w:left="270"/>
        <w:rPr/>
      </w:pPr>
      <w:r/>
      <w:r/>
    </w:p>
    <w:p>
      <w:pPr>
        <w:pBdr/>
        <w:spacing/>
        <w:ind/>
        <w:rPr/>
      </w:pPr>
      <w:r>
        <w:t xml:space="preserve">1</w:t>
      </w:r>
      <w:r>
        <w:t xml:space="preserve">1</w:t>
      </w:r>
      <w:r>
        <w:t xml:space="preserve">.  Which of the following people would be most likely to develop cholelithiasis?</w:t>
      </w:r>
      <w:r/>
    </w:p>
    <w:p>
      <w:pPr>
        <w:pBdr/>
        <w:spacing/>
        <w:ind w:firstLine="360"/>
        <w:rPr/>
      </w:pPr>
      <w:r>
        <w:t xml:space="preserve">a.  </w:t>
      </w:r>
      <w:r>
        <w:t xml:space="preserve">A </w:t>
      </w:r>
      <w:r>
        <w:t xml:space="preserve"> </w:t>
      </w:r>
      <w:r>
        <w:t xml:space="preserve">40 year old male vegetarian</w:t>
      </w:r>
      <w:r/>
    </w:p>
    <w:p>
      <w:pPr>
        <w:pBdr/>
        <w:spacing/>
        <w:ind w:firstLine="360"/>
        <w:rPr/>
      </w:pPr>
      <w:r>
        <w:t xml:space="preserve">b.  </w:t>
      </w:r>
      <w:r>
        <w:t xml:space="preserve">A</w:t>
      </w:r>
      <w:r>
        <w:t xml:space="preserve"> </w:t>
      </w:r>
      <w:r>
        <w:t xml:space="preserve"> </w:t>
      </w:r>
      <w:r>
        <w:t xml:space="preserve">30 year old “steak and eggs” male truck driver</w:t>
      </w:r>
      <w:r/>
    </w:p>
    <w:p>
      <w:pPr>
        <w:pBdr/>
        <w:spacing/>
        <w:ind w:firstLine="360"/>
        <w:rPr>
          <w:color w:val="ff0000"/>
        </w:rPr>
      </w:pPr>
      <w:r>
        <w:rPr>
          <w:color w:val="ff0000"/>
        </w:rPr>
        <w:t xml:space="preserve">c.  </w:t>
      </w:r>
      <w:r>
        <w:rPr>
          <w:color w:val="ff0000"/>
        </w:rPr>
        <w:t xml:space="preserve">A</w:t>
      </w:r>
      <w:r>
        <w:rPr>
          <w:color w:val="ff0000"/>
        </w:rPr>
        <w:t xml:space="preserve">n obese 45 year old female couch potato</w:t>
      </w:r>
      <w:r>
        <w:rPr>
          <w:color w:val="ff0000"/>
        </w:rPr>
      </w:r>
    </w:p>
    <w:p>
      <w:pPr>
        <w:pBdr/>
        <w:spacing/>
        <w:ind w:firstLine="360"/>
        <w:rPr/>
      </w:pPr>
      <w:r>
        <w:t xml:space="preserve">d.  </w:t>
      </w:r>
      <w:r>
        <w:t xml:space="preserve">A</w:t>
      </w:r>
      <w:r>
        <w:t xml:space="preserve"> post</w:t>
      </w:r>
      <w:r>
        <w:t xml:space="preserve">-</w:t>
      </w:r>
      <w:r>
        <w:t xml:space="preserve">menopausal 65 year old grandmother who runs marathons</w:t>
      </w:r>
      <w:r/>
    </w:p>
    <w:p>
      <w:pPr>
        <w:pBdr/>
        <w:spacing/>
        <w:ind/>
        <w:rPr/>
      </w:pPr>
      <w:r/>
      <w:r/>
    </w:p>
    <w:p>
      <w:pPr>
        <w:pBdr/>
        <w:spacing/>
        <w:ind/>
        <w:rPr/>
      </w:pPr>
      <w:r/>
      <w:r/>
    </w:p>
    <w:p>
      <w:pPr>
        <w:pBdr/>
        <w:spacing/>
        <w:ind/>
        <w:rPr/>
      </w:pPr>
      <w:r>
        <w:t xml:space="preserve">12</w:t>
      </w:r>
      <w:r>
        <w:t xml:space="preserve">.  Which of the following conditions is most likely to cause liver failure?</w:t>
      </w:r>
      <w:r/>
    </w:p>
    <w:p>
      <w:pPr>
        <w:pBdr/>
        <w:spacing/>
        <w:ind w:firstLine="360"/>
        <w:rPr/>
      </w:pPr>
      <w:r>
        <w:t xml:space="preserve">a.  jaundice</w:t>
      </w:r>
      <w:r/>
    </w:p>
    <w:p>
      <w:pPr>
        <w:pBdr/>
        <w:spacing/>
        <w:ind w:hanging="270" w:left="630"/>
        <w:rPr>
          <w:color w:val="ff0000"/>
        </w:rPr>
      </w:pPr>
      <w:r>
        <w:rPr>
          <w:color w:val="ff0000"/>
        </w:rPr>
        <w:t xml:space="preserve">b.  cholelithiasis</w:t>
      </w:r>
      <w:r>
        <w:rPr>
          <w:color w:val="ff0000"/>
        </w:rPr>
        <w:t xml:space="preserve"> – in an extreme case </w:t>
      </w:r>
      <w:r>
        <w:rPr>
          <w:color w:val="ff0000"/>
        </w:rPr>
        <w:t xml:space="preserve">where a gallstone has blocked the CHD or CBD</w:t>
      </w:r>
      <w:r>
        <w:rPr>
          <w:color w:val="ff0000"/>
        </w:rPr>
      </w:r>
    </w:p>
    <w:p>
      <w:pPr>
        <w:pBdr/>
        <w:spacing/>
        <w:ind w:firstLine="360"/>
        <w:rPr/>
      </w:pPr>
      <w:r>
        <w:t xml:space="preserve">c.  cholecystitis</w:t>
      </w:r>
      <w:r/>
    </w:p>
    <w:p>
      <w:pPr>
        <w:pBdr/>
        <w:spacing/>
        <w:ind w:firstLine="360"/>
        <w:rPr/>
      </w:pPr>
      <w:r>
        <w:t xml:space="preserve">d. Hepatitis A</w:t>
      </w:r>
      <w:r/>
    </w:p>
    <w:p>
      <w:pPr>
        <w:pBdr/>
        <w:spacing/>
        <w:ind w:firstLine="360"/>
        <w:rPr/>
      </w:pPr>
      <w:r/>
      <w:r/>
    </w:p>
    <w:p>
      <w:pPr>
        <w:pBdr/>
        <w:spacing/>
        <w:ind/>
        <w:jc w:val="both"/>
        <w:rPr>
          <w:color w:val="ff0000"/>
        </w:rPr>
      </w:pPr>
      <w:r>
        <w:t xml:space="preserve">13</w:t>
      </w:r>
      <w:r>
        <w:t xml:space="preserve">.  </w:t>
      </w:r>
      <w:r>
        <w:t xml:space="preserve">Explain the physiological cause and appearance of jaundice</w:t>
      </w:r>
      <w:r>
        <w:t xml:space="preserve">.</w:t>
      </w:r>
      <w:r>
        <w:t xml:space="preserve"> </w:t>
      </w:r>
      <w:r>
        <w:rPr>
          <w:color w:val="ff0000"/>
        </w:rPr>
        <w:t xml:space="preserve">J</w:t>
      </w:r>
      <w:r>
        <w:rPr>
          <w:color w:val="ff0000"/>
        </w:rPr>
        <w:t xml:space="preserve">a</w:t>
      </w:r>
      <w:r>
        <w:rPr>
          <w:color w:val="ff0000"/>
        </w:rPr>
        <w:t xml:space="preserve">undice is caused by a</w:t>
      </w:r>
      <w:r>
        <w:rPr>
          <w:color w:val="ff0000"/>
        </w:rPr>
        <w:t xml:space="preserve"> </w:t>
      </w:r>
      <w:r>
        <w:rPr>
          <w:color w:val="ff0000"/>
        </w:rPr>
        <w:t xml:space="preserve">blockage in the biliary system</w:t>
      </w:r>
      <w:r>
        <w:rPr>
          <w:color w:val="ff0000"/>
        </w:rPr>
        <w:t xml:space="preserve"> that prevents bile from reaching the duodenum, causing trapped bile pigments to be reabsorbed into the </w:t>
      </w:r>
      <w:r>
        <w:rPr>
          <w:color w:val="ff0000"/>
        </w:rPr>
        <w:t xml:space="preserve">blood stream which in turn gives the skin a yellow hue.  The only biliary duct that can be blocked without causing jaundice is the cystic duct, as the gall bladder is made to store bile and its contents are never reabsorbed directly into the blood stream. </w:t>
      </w:r>
      <w:r>
        <w:rPr>
          <w:color w:val="ff0000"/>
        </w:rPr>
      </w:r>
    </w:p>
    <w:p>
      <w:pPr>
        <w:pBdr/>
        <w:spacing/>
        <w:ind/>
        <w:jc w:val="both"/>
        <w:rPr/>
      </w:pPr>
      <w:r/>
      <w:r/>
    </w:p>
    <w:p>
      <w:pPr>
        <w:pBdr/>
        <w:spacing/>
        <w:ind/>
        <w:rPr/>
      </w:pPr>
      <w:r>
        <w:t xml:space="preserve">14</w:t>
      </w:r>
      <w:r>
        <w:t xml:space="preserve">.  </w:t>
      </w:r>
      <w:r>
        <w:t xml:space="preserve">Explain w</w:t>
      </w:r>
      <w:r>
        <w:t xml:space="preserve">hy </w:t>
      </w:r>
      <w:r>
        <w:t xml:space="preserve">acute</w:t>
      </w:r>
      <w:r>
        <w:t xml:space="preserve"> pancreatitis ha</w:t>
      </w:r>
      <w:r>
        <w:t xml:space="preserve">s</w:t>
      </w:r>
      <w:r>
        <w:t xml:space="preserve"> the potential to cause hemorrhage and/or necrosis of pancreatic tissue</w:t>
      </w:r>
      <w:r>
        <w:t xml:space="preserve">?</w:t>
      </w:r>
      <w:r>
        <w:t xml:space="preserve"> </w:t>
      </w:r>
      <w:r>
        <w:t xml:space="preserve"> </w:t>
      </w:r>
      <w:r>
        <w:rPr>
          <w:color w:val="ff0000"/>
        </w:rPr>
        <w:t xml:space="preserve">The pancreas produces its own digestive juices; if the pancreatic duct is severely </w:t>
      </w:r>
      <w:r>
        <w:rPr>
          <w:color w:val="ff0000"/>
        </w:rPr>
        <w:t xml:space="preserve">damaged by </w:t>
      </w:r>
      <w:r>
        <w:rPr>
          <w:color w:val="ff0000"/>
        </w:rPr>
        <w:t xml:space="preserve">an</w:t>
      </w:r>
      <w:r>
        <w:rPr>
          <w:color w:val="ff0000"/>
        </w:rPr>
        <w:t xml:space="preserve"> inflammatory process</w:t>
      </w:r>
      <w:r>
        <w:rPr>
          <w:color w:val="ff0000"/>
        </w:rPr>
        <w:t xml:space="preserve">,</w:t>
      </w:r>
      <w:r>
        <w:rPr>
          <w:color w:val="ff0000"/>
        </w:rPr>
        <w:t xml:space="preserve"> the</w:t>
      </w:r>
      <w:r>
        <w:rPr>
          <w:color w:val="ff0000"/>
        </w:rPr>
        <w:t xml:space="preserve">se juices can </w:t>
      </w:r>
      <w:r>
        <w:rPr>
          <w:color w:val="ff0000"/>
        </w:rPr>
        <w:t xml:space="preserve">leak into the pa</w:t>
      </w:r>
      <w:r>
        <w:rPr>
          <w:color w:val="ff0000"/>
        </w:rPr>
        <w:t xml:space="preserve">renchyma and </w:t>
      </w:r>
      <w:r>
        <w:rPr>
          <w:color w:val="ff0000"/>
        </w:rPr>
        <w:t xml:space="preserve">begin to digest the pancreas from the inside out.</w:t>
      </w:r>
      <w:r>
        <w:rPr>
          <w:color w:val="ff0000"/>
        </w:rPr>
        <w:t xml:space="preserve"> </w:t>
      </w:r>
      <w:r>
        <w:rPr>
          <w:color w:val="ff0000"/>
        </w:rPr>
        <w:t xml:space="preserve">Depending on the location and extent of the damage, t</w:t>
      </w:r>
      <w:r>
        <w:rPr>
          <w:color w:val="ff0000"/>
        </w:rPr>
        <w:t xml:space="preserve">issue</w:t>
      </w:r>
      <w:r>
        <w:rPr>
          <w:color w:val="ff0000"/>
        </w:rPr>
        <w:t xml:space="preserve">s</w:t>
      </w:r>
      <w:r>
        <w:rPr>
          <w:color w:val="ff0000"/>
        </w:rPr>
        <w:t xml:space="preserve"> can be destroyed </w:t>
      </w:r>
      <w:r>
        <w:rPr>
          <w:color w:val="ff0000"/>
        </w:rPr>
        <w:t xml:space="preserve">and/</w:t>
      </w:r>
      <w:r>
        <w:rPr>
          <w:color w:val="ff0000"/>
        </w:rPr>
        <w:t xml:space="preserve">or blood supply can be impacted </w:t>
      </w:r>
      <w:r/>
    </w:p>
    <w:p>
      <w:pPr>
        <w:pBdr/>
        <w:spacing/>
        <w:ind/>
        <w:rPr>
          <w:b/>
          <w:u w:val="single"/>
        </w:rPr>
      </w:pPr>
      <w:r>
        <w:rPr>
          <w:b/>
          <w:u w:val="single"/>
        </w:rPr>
      </w:r>
      <w:r>
        <w:rPr>
          <w:b/>
          <w:u w:val="single"/>
        </w:rPr>
      </w:r>
    </w:p>
    <w:p>
      <w:pPr>
        <w:pBdr/>
        <w:spacing/>
        <w:ind/>
        <w:rPr/>
      </w:pPr>
      <w:r>
        <w:t xml:space="preserve">15</w:t>
      </w:r>
      <w:r>
        <w:t xml:space="preserve">.  </w:t>
      </w:r>
      <w:r>
        <w:t xml:space="preserve">Which of the following is most closely associated with </w:t>
      </w:r>
      <w:r>
        <w:t xml:space="preserve">hepatocellular carcinoma?</w:t>
      </w:r>
      <w:r/>
    </w:p>
    <w:p>
      <w:pPr>
        <w:pBdr/>
        <w:spacing/>
        <w:ind w:firstLine="450"/>
        <w:rPr/>
      </w:pPr>
      <w:r>
        <w:t xml:space="preserve">a. Hepatitis A</w:t>
      </w:r>
      <w:r/>
    </w:p>
    <w:p>
      <w:pPr>
        <w:pBdr/>
        <w:spacing/>
        <w:ind w:firstLine="450"/>
        <w:rPr/>
      </w:pPr>
      <w:r>
        <w:t xml:space="preserve">b. </w:t>
      </w:r>
      <w:r>
        <w:t xml:space="preserve">Crohn’s</w:t>
      </w:r>
      <w:r/>
    </w:p>
    <w:p>
      <w:pPr>
        <w:pBdr/>
        <w:spacing/>
        <w:ind w:firstLine="450"/>
        <w:rPr>
          <w:color w:val="000000" w:themeColor="text1"/>
        </w:rPr>
      </w:pPr>
      <w:r>
        <w:rPr>
          <w:color w:val="000000" w:themeColor="text1"/>
        </w:rPr>
        <w:t xml:space="preserve">c. Colon cancer</w:t>
      </w:r>
      <w:r>
        <w:rPr>
          <w:color w:val="000000" w:themeColor="text1"/>
        </w:rPr>
      </w:r>
    </w:p>
    <w:p>
      <w:pPr>
        <w:pBdr/>
        <w:spacing/>
        <w:ind w:firstLine="450"/>
        <w:rPr>
          <w:color w:val="ff0000"/>
        </w:rPr>
      </w:pPr>
      <w:r>
        <w:rPr>
          <w:color w:val="ff0000"/>
        </w:rPr>
        <w:t xml:space="preserve">d. Hepatitis </w:t>
      </w:r>
      <w:r>
        <w:rPr>
          <w:color w:val="ff0000"/>
        </w:rPr>
        <w:t xml:space="preserve">C</w:t>
      </w:r>
      <w:r>
        <w:rPr>
          <w:color w:val="ff0000"/>
        </w:rPr>
        <w:t xml:space="preserve"> – this is the only option that will cause a </w:t>
      </w:r>
      <w:r>
        <w:rPr>
          <w:color w:val="ff0000"/>
          <w:u w:val="single"/>
        </w:rPr>
        <w:t xml:space="preserve">primary</w:t>
      </w:r>
      <w:r>
        <w:rPr>
          <w:color w:val="ff0000"/>
        </w:rPr>
        <w:t xml:space="preserve"> cancer</w:t>
      </w:r>
      <w:r>
        <w:rPr>
          <w:color w:val="ff0000"/>
        </w:rPr>
      </w:r>
    </w:p>
    <w:p>
      <w:pPr>
        <w:pBdr/>
        <w:spacing/>
        <w:ind/>
        <w:rPr/>
      </w:pPr>
      <w:r/>
      <w:r/>
    </w:p>
    <w:p>
      <w:pPr>
        <w:pBdr/>
        <w:spacing/>
        <w:ind/>
        <w:rPr>
          <w:color w:val="ff0000"/>
        </w:rPr>
      </w:pPr>
      <w:r>
        <w:t xml:space="preserve">16</w:t>
      </w:r>
      <w:r>
        <w:t xml:space="preserve">.  Why is pancreatic cancer almost always fatal?</w:t>
      </w:r>
      <w:r>
        <w:t xml:space="preserve"> </w:t>
      </w:r>
      <w:r>
        <w:rPr>
          <w:color w:val="ff0000"/>
        </w:rPr>
        <w:t xml:space="preserve">Because the signs and symptoms do not generally manifest themselves </w:t>
      </w:r>
      <w:r>
        <w:rPr>
          <w:color w:val="ff0000"/>
        </w:rPr>
        <w:t xml:space="preserve">until</w:t>
      </w:r>
      <w:r>
        <w:rPr>
          <w:color w:val="ff0000"/>
        </w:rPr>
        <w:t xml:space="preserve"> the cancer </w:t>
      </w:r>
      <w:r>
        <w:rPr>
          <w:color w:val="ff0000"/>
        </w:rPr>
        <w:t xml:space="preserve">is </w:t>
      </w:r>
      <w:r>
        <w:rPr>
          <w:color w:val="ff0000"/>
        </w:rPr>
        <w:t xml:space="preserve">too advanced to treat.</w:t>
      </w:r>
      <w:r>
        <w:rPr>
          <w:color w:val="ff0000"/>
        </w:rPr>
      </w:r>
    </w:p>
    <w:sectPr>
      <w:headerReference w:type="default" r:id="rId9"/>
      <w:footnotePr/>
      <w:endnotePr/>
      <w:type w:val="nextPage"/>
      <w:pgSz w:h="15840" w:orient="portrait" w:w="12240"/>
      <w:pgMar w:top="90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spacing/>
      <w:ind/>
      <w:rPr/>
    </w:pPr>
    <w:r/>
    <w:r>
      <w:rPr>
        <w:lang w:val="en-US"/>
      </w:rPr>
      <mc:AlternateContent>
        <mc:Choice Requires="wpg">
          <w:drawing>
            <wp:inline xmlns:wp="http://schemas.openxmlformats.org/drawingml/2006/wordprocessingDrawing" distT="0" distB="0" distL="0" distR="0">
              <wp:extent cx="657860" cy="704850"/>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671874" name="Picture 1" descr="C:\Users\Fayyaz\Downloads\Eden-Brook-College-1.png"/>
                      <pic:cNvPicPr>
                        <a:picLocks noChangeAspect="1"/>
                      </pic:cNvPicPr>
                      <pic:nvPr/>
                    </pic:nvPicPr>
                    <pic:blipFill>
                      <a:blip r:embed="rId1"/>
                      <a:stretch/>
                    </pic:blipFill>
                    <pic:spPr bwMode="auto">
                      <a:xfrm rot="0" flipH="0" flipV="0">
                        <a:off x="0" y="0"/>
                        <a:ext cx="657859" cy="70484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1.80pt;height:55.50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US"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1">
    <w:name w:val="Table Grid"/>
    <w:basedOn w:val="700"/>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
    <w:name w:val="Table Grid Light"/>
    <w:basedOn w:val="70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00"/>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00"/>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0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0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0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0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0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0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0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0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0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0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0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0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0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0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0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0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0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0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0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0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0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0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0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0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0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0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0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0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0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0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0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0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0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0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0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0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0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0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0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0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0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0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0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0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0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0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0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0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0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0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0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0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0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0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0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0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0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0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0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0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0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0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0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0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0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0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0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0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0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0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0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0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0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0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0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0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0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0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0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0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0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0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70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70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70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70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70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0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0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0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0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0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0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0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0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0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0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0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0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0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0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0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
    <w:name w:val="Heading 1"/>
    <w:basedOn w:val="698"/>
    <w:next w:val="698"/>
    <w:link w:val="149"/>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39">
    <w:name w:val="Heading 2"/>
    <w:basedOn w:val="698"/>
    <w:next w:val="698"/>
    <w:link w:val="150"/>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0">
    <w:name w:val="Heading 3"/>
    <w:basedOn w:val="698"/>
    <w:next w:val="698"/>
    <w:link w:val="151"/>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1">
    <w:name w:val="Heading 4"/>
    <w:basedOn w:val="698"/>
    <w:next w:val="698"/>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698"/>
    <w:next w:val="698"/>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698"/>
    <w:next w:val="698"/>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698"/>
    <w:next w:val="698"/>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698"/>
    <w:next w:val="698"/>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698"/>
    <w:next w:val="698"/>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9">
    <w:name w:val="Heading 1 Char"/>
    <w:basedOn w:val="699"/>
    <w:link w:val="138"/>
    <w:uiPriority w:val="9"/>
    <w:pPr>
      <w:pBdr/>
      <w:spacing/>
      <w:ind/>
    </w:pPr>
    <w:rPr>
      <w:rFonts w:ascii="Arial" w:hAnsi="Arial" w:eastAsia="Arial" w:cs="Arial"/>
      <w:color w:val="0f4761" w:themeColor="accent1" w:themeShade="BF"/>
      <w:sz w:val="40"/>
      <w:szCs w:val="40"/>
    </w:rPr>
  </w:style>
  <w:style w:type="character" w:styleId="150">
    <w:name w:val="Heading 2 Char"/>
    <w:basedOn w:val="699"/>
    <w:link w:val="139"/>
    <w:uiPriority w:val="9"/>
    <w:pPr>
      <w:pBdr/>
      <w:spacing/>
      <w:ind/>
    </w:pPr>
    <w:rPr>
      <w:rFonts w:ascii="Arial" w:hAnsi="Arial" w:eastAsia="Arial" w:cs="Arial"/>
      <w:color w:val="0f4761" w:themeColor="accent1" w:themeShade="BF"/>
      <w:sz w:val="32"/>
      <w:szCs w:val="32"/>
    </w:rPr>
  </w:style>
  <w:style w:type="character" w:styleId="151">
    <w:name w:val="Heading 3 Char"/>
    <w:basedOn w:val="699"/>
    <w:link w:val="140"/>
    <w:uiPriority w:val="9"/>
    <w:pPr>
      <w:pBdr/>
      <w:spacing/>
      <w:ind/>
    </w:pPr>
    <w:rPr>
      <w:rFonts w:ascii="Arial" w:hAnsi="Arial" w:eastAsia="Arial" w:cs="Arial"/>
      <w:color w:val="0f4761" w:themeColor="accent1" w:themeShade="BF"/>
      <w:sz w:val="28"/>
      <w:szCs w:val="28"/>
    </w:rPr>
  </w:style>
  <w:style w:type="character" w:styleId="152">
    <w:name w:val="Heading 4 Char"/>
    <w:basedOn w:val="699"/>
    <w:link w:val="141"/>
    <w:uiPriority w:val="9"/>
    <w:pPr>
      <w:pBdr/>
      <w:spacing/>
      <w:ind/>
    </w:pPr>
    <w:rPr>
      <w:rFonts w:ascii="Arial" w:hAnsi="Arial" w:eastAsia="Arial" w:cs="Arial"/>
      <w:i/>
      <w:iCs/>
      <w:color w:val="0f4761" w:themeColor="accent1" w:themeShade="BF"/>
    </w:rPr>
  </w:style>
  <w:style w:type="character" w:styleId="153">
    <w:name w:val="Heading 5 Char"/>
    <w:basedOn w:val="699"/>
    <w:link w:val="142"/>
    <w:uiPriority w:val="9"/>
    <w:pPr>
      <w:pBdr/>
      <w:spacing/>
      <w:ind/>
    </w:pPr>
    <w:rPr>
      <w:rFonts w:ascii="Arial" w:hAnsi="Arial" w:eastAsia="Arial" w:cs="Arial"/>
      <w:color w:val="0f4761" w:themeColor="accent1" w:themeShade="BF"/>
    </w:rPr>
  </w:style>
  <w:style w:type="character" w:styleId="154">
    <w:name w:val="Heading 6 Char"/>
    <w:basedOn w:val="699"/>
    <w:link w:val="143"/>
    <w:uiPriority w:val="9"/>
    <w:pPr>
      <w:pBdr/>
      <w:spacing/>
      <w:ind/>
    </w:pPr>
    <w:rPr>
      <w:rFonts w:ascii="Arial" w:hAnsi="Arial" w:eastAsia="Arial" w:cs="Arial"/>
      <w:i/>
      <w:iCs/>
      <w:color w:val="595959" w:themeColor="text1" w:themeTint="A6"/>
    </w:rPr>
  </w:style>
  <w:style w:type="character" w:styleId="155">
    <w:name w:val="Heading 7 Char"/>
    <w:basedOn w:val="699"/>
    <w:link w:val="144"/>
    <w:uiPriority w:val="9"/>
    <w:pPr>
      <w:pBdr/>
      <w:spacing/>
      <w:ind/>
    </w:pPr>
    <w:rPr>
      <w:rFonts w:ascii="Arial" w:hAnsi="Arial" w:eastAsia="Arial" w:cs="Arial"/>
      <w:color w:val="595959" w:themeColor="text1" w:themeTint="A6"/>
    </w:rPr>
  </w:style>
  <w:style w:type="character" w:styleId="156">
    <w:name w:val="Heading 8 Char"/>
    <w:basedOn w:val="699"/>
    <w:link w:val="145"/>
    <w:uiPriority w:val="9"/>
    <w:pPr>
      <w:pBdr/>
      <w:spacing/>
      <w:ind/>
    </w:pPr>
    <w:rPr>
      <w:rFonts w:ascii="Arial" w:hAnsi="Arial" w:eastAsia="Arial" w:cs="Arial"/>
      <w:i/>
      <w:iCs/>
      <w:color w:val="272727" w:themeColor="text1" w:themeTint="D8"/>
    </w:rPr>
  </w:style>
  <w:style w:type="character" w:styleId="157">
    <w:name w:val="Heading 9 Char"/>
    <w:basedOn w:val="699"/>
    <w:link w:val="146"/>
    <w:uiPriority w:val="9"/>
    <w:pPr>
      <w:pBdr/>
      <w:spacing/>
      <w:ind/>
    </w:pPr>
    <w:rPr>
      <w:rFonts w:ascii="Arial" w:hAnsi="Arial" w:eastAsia="Arial" w:cs="Arial"/>
      <w:i/>
      <w:iCs/>
      <w:color w:val="272727" w:themeColor="text1" w:themeTint="D8"/>
    </w:rPr>
  </w:style>
  <w:style w:type="paragraph" w:styleId="158">
    <w:name w:val="Title"/>
    <w:basedOn w:val="698"/>
    <w:next w:val="698"/>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699"/>
    <w:link w:val="158"/>
    <w:uiPriority w:val="10"/>
    <w:pPr>
      <w:pBdr/>
      <w:spacing/>
      <w:ind/>
    </w:pPr>
    <w:rPr>
      <w:rFonts w:ascii="Arial" w:hAnsi="Arial" w:eastAsia="Arial" w:cs="Arial"/>
      <w:spacing w:val="-10"/>
      <w:sz w:val="56"/>
      <w:szCs w:val="56"/>
    </w:rPr>
  </w:style>
  <w:style w:type="paragraph" w:styleId="160">
    <w:name w:val="Subtitle"/>
    <w:basedOn w:val="698"/>
    <w:next w:val="698"/>
    <w:link w:val="161"/>
    <w:uiPriority w:val="11"/>
    <w:qFormat/>
    <w:pPr>
      <w:numPr>
        <w:ilvl w:val="1"/>
      </w:numPr>
      <w:pBdr/>
      <w:spacing/>
      <w:ind/>
    </w:pPr>
    <w:rPr>
      <w:color w:val="595959" w:themeColor="text1" w:themeTint="A6"/>
      <w:spacing w:val="15"/>
      <w:sz w:val="28"/>
      <w:szCs w:val="28"/>
    </w:rPr>
  </w:style>
  <w:style w:type="character" w:styleId="161">
    <w:name w:val="Subtitle Char"/>
    <w:basedOn w:val="699"/>
    <w:link w:val="160"/>
    <w:uiPriority w:val="11"/>
    <w:pPr>
      <w:pBdr/>
      <w:spacing/>
      <w:ind/>
    </w:pPr>
    <w:rPr>
      <w:color w:val="595959" w:themeColor="text1" w:themeTint="A6"/>
      <w:spacing w:val="15"/>
      <w:sz w:val="28"/>
      <w:szCs w:val="28"/>
    </w:rPr>
  </w:style>
  <w:style w:type="paragraph" w:styleId="162">
    <w:name w:val="Quote"/>
    <w:basedOn w:val="698"/>
    <w:next w:val="698"/>
    <w:link w:val="163"/>
    <w:uiPriority w:val="29"/>
    <w:qFormat/>
    <w:pPr>
      <w:pBdr/>
      <w:spacing w:before="160"/>
      <w:ind/>
      <w:jc w:val="center"/>
    </w:pPr>
    <w:rPr>
      <w:i/>
      <w:iCs/>
      <w:color w:val="404040" w:themeColor="text1" w:themeTint="BF"/>
    </w:rPr>
  </w:style>
  <w:style w:type="character" w:styleId="163">
    <w:name w:val="Quote Char"/>
    <w:basedOn w:val="699"/>
    <w:link w:val="162"/>
    <w:uiPriority w:val="29"/>
    <w:pPr>
      <w:pBdr/>
      <w:spacing/>
      <w:ind/>
    </w:pPr>
    <w:rPr>
      <w:i/>
      <w:iCs/>
      <w:color w:val="404040" w:themeColor="text1" w:themeTint="BF"/>
    </w:rPr>
  </w:style>
  <w:style w:type="character" w:styleId="165">
    <w:name w:val="Intense Emphasis"/>
    <w:basedOn w:val="699"/>
    <w:uiPriority w:val="21"/>
    <w:qFormat/>
    <w:pPr>
      <w:pBdr/>
      <w:spacing/>
      <w:ind/>
    </w:pPr>
    <w:rPr>
      <w:i/>
      <w:iCs/>
      <w:color w:val="0f4761" w:themeColor="accent1" w:themeShade="BF"/>
    </w:rPr>
  </w:style>
  <w:style w:type="paragraph" w:styleId="166">
    <w:name w:val="Intense Quote"/>
    <w:basedOn w:val="698"/>
    <w:next w:val="698"/>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699"/>
    <w:link w:val="166"/>
    <w:uiPriority w:val="30"/>
    <w:pPr>
      <w:pBdr/>
      <w:spacing/>
      <w:ind/>
    </w:pPr>
    <w:rPr>
      <w:i/>
      <w:iCs/>
      <w:color w:val="0f4761" w:themeColor="accent1" w:themeShade="BF"/>
    </w:rPr>
  </w:style>
  <w:style w:type="character" w:styleId="168">
    <w:name w:val="Intense Reference"/>
    <w:basedOn w:val="699"/>
    <w:uiPriority w:val="32"/>
    <w:qFormat/>
    <w:pPr>
      <w:pBdr/>
      <w:spacing/>
      <w:ind/>
    </w:pPr>
    <w:rPr>
      <w:b/>
      <w:bCs/>
      <w:smallCaps/>
      <w:color w:val="0f4761" w:themeColor="accent1" w:themeShade="BF"/>
      <w:spacing w:val="5"/>
    </w:rPr>
  </w:style>
  <w:style w:type="paragraph" w:styleId="169">
    <w:name w:val="No Spacing"/>
    <w:basedOn w:val="698"/>
    <w:uiPriority w:val="1"/>
    <w:qFormat/>
    <w:pPr>
      <w:pBdr/>
      <w:spacing w:after="0" w:line="240" w:lineRule="auto"/>
      <w:ind/>
    </w:pPr>
  </w:style>
  <w:style w:type="character" w:styleId="170">
    <w:name w:val="Subtle Emphasis"/>
    <w:basedOn w:val="699"/>
    <w:uiPriority w:val="19"/>
    <w:qFormat/>
    <w:pPr>
      <w:pBdr/>
      <w:spacing/>
      <w:ind/>
    </w:pPr>
    <w:rPr>
      <w:i/>
      <w:iCs/>
      <w:color w:val="404040" w:themeColor="text1" w:themeTint="BF"/>
    </w:rPr>
  </w:style>
  <w:style w:type="character" w:styleId="171">
    <w:name w:val="Emphasis"/>
    <w:basedOn w:val="699"/>
    <w:uiPriority w:val="20"/>
    <w:qFormat/>
    <w:pPr>
      <w:pBdr/>
      <w:spacing/>
      <w:ind/>
    </w:pPr>
    <w:rPr>
      <w:i/>
      <w:iCs/>
    </w:rPr>
  </w:style>
  <w:style w:type="character" w:styleId="172">
    <w:name w:val="Strong"/>
    <w:basedOn w:val="699"/>
    <w:uiPriority w:val="22"/>
    <w:qFormat/>
    <w:pPr>
      <w:pBdr/>
      <w:spacing/>
      <w:ind/>
    </w:pPr>
    <w:rPr>
      <w:b/>
      <w:bCs/>
    </w:rPr>
  </w:style>
  <w:style w:type="character" w:styleId="173">
    <w:name w:val="Subtle Reference"/>
    <w:basedOn w:val="699"/>
    <w:uiPriority w:val="31"/>
    <w:qFormat/>
    <w:pPr>
      <w:pBdr/>
      <w:spacing/>
      <w:ind/>
    </w:pPr>
    <w:rPr>
      <w:smallCaps/>
      <w:color w:val="5a5a5a" w:themeColor="text1" w:themeTint="A5"/>
    </w:rPr>
  </w:style>
  <w:style w:type="character" w:styleId="174">
    <w:name w:val="Book Title"/>
    <w:basedOn w:val="699"/>
    <w:uiPriority w:val="33"/>
    <w:qFormat/>
    <w:pPr>
      <w:pBdr/>
      <w:spacing/>
      <w:ind/>
    </w:pPr>
    <w:rPr>
      <w:b/>
      <w:bCs/>
      <w:i/>
      <w:iCs/>
      <w:spacing w:val="5"/>
    </w:rPr>
  </w:style>
  <w:style w:type="paragraph" w:styleId="179">
    <w:name w:val="Caption"/>
    <w:basedOn w:val="698"/>
    <w:next w:val="698"/>
    <w:uiPriority w:val="35"/>
    <w:unhideWhenUsed/>
    <w:qFormat/>
    <w:pPr>
      <w:pBdr/>
      <w:spacing w:after="200" w:line="240" w:lineRule="auto"/>
      <w:ind/>
    </w:pPr>
    <w:rPr>
      <w:i/>
      <w:iCs/>
      <w:color w:val="0e2841" w:themeColor="text2"/>
      <w:sz w:val="18"/>
      <w:szCs w:val="18"/>
    </w:rPr>
  </w:style>
  <w:style w:type="paragraph" w:styleId="180">
    <w:name w:val="footnote text"/>
    <w:basedOn w:val="698"/>
    <w:link w:val="181"/>
    <w:uiPriority w:val="99"/>
    <w:semiHidden/>
    <w:unhideWhenUsed/>
    <w:pPr>
      <w:pBdr/>
      <w:spacing w:after="0" w:line="240" w:lineRule="auto"/>
      <w:ind/>
    </w:pPr>
    <w:rPr>
      <w:sz w:val="20"/>
      <w:szCs w:val="20"/>
    </w:rPr>
  </w:style>
  <w:style w:type="character" w:styleId="181">
    <w:name w:val="Footnote Text Char"/>
    <w:basedOn w:val="699"/>
    <w:link w:val="180"/>
    <w:uiPriority w:val="99"/>
    <w:semiHidden/>
    <w:pPr>
      <w:pBdr/>
      <w:spacing/>
      <w:ind/>
    </w:pPr>
    <w:rPr>
      <w:sz w:val="20"/>
      <w:szCs w:val="20"/>
    </w:rPr>
  </w:style>
  <w:style w:type="character" w:styleId="182">
    <w:name w:val="footnote reference"/>
    <w:basedOn w:val="699"/>
    <w:uiPriority w:val="99"/>
    <w:semiHidden/>
    <w:unhideWhenUsed/>
    <w:pPr>
      <w:pBdr/>
      <w:spacing/>
      <w:ind/>
    </w:pPr>
    <w:rPr>
      <w:vertAlign w:val="superscript"/>
    </w:rPr>
  </w:style>
  <w:style w:type="paragraph" w:styleId="183">
    <w:name w:val="endnote text"/>
    <w:basedOn w:val="698"/>
    <w:link w:val="184"/>
    <w:uiPriority w:val="99"/>
    <w:semiHidden/>
    <w:unhideWhenUsed/>
    <w:pPr>
      <w:pBdr/>
      <w:spacing w:after="0" w:line="240" w:lineRule="auto"/>
      <w:ind/>
    </w:pPr>
    <w:rPr>
      <w:sz w:val="20"/>
      <w:szCs w:val="20"/>
    </w:rPr>
  </w:style>
  <w:style w:type="character" w:styleId="184">
    <w:name w:val="Endnote Text Char"/>
    <w:basedOn w:val="699"/>
    <w:link w:val="183"/>
    <w:uiPriority w:val="99"/>
    <w:semiHidden/>
    <w:pPr>
      <w:pBdr/>
      <w:spacing/>
      <w:ind/>
    </w:pPr>
    <w:rPr>
      <w:sz w:val="20"/>
      <w:szCs w:val="20"/>
    </w:rPr>
  </w:style>
  <w:style w:type="character" w:styleId="185">
    <w:name w:val="endnote reference"/>
    <w:basedOn w:val="699"/>
    <w:uiPriority w:val="99"/>
    <w:semiHidden/>
    <w:unhideWhenUsed/>
    <w:pPr>
      <w:pBdr/>
      <w:spacing/>
      <w:ind/>
    </w:pPr>
    <w:rPr>
      <w:vertAlign w:val="superscript"/>
    </w:rPr>
  </w:style>
  <w:style w:type="character" w:styleId="186">
    <w:name w:val="Hyperlink"/>
    <w:basedOn w:val="699"/>
    <w:uiPriority w:val="99"/>
    <w:unhideWhenUsed/>
    <w:pPr>
      <w:pBdr/>
      <w:spacing/>
      <w:ind/>
    </w:pPr>
    <w:rPr>
      <w:color w:val="0563c1" w:themeColor="hyperlink"/>
      <w:u w:val="single"/>
    </w:rPr>
  </w:style>
  <w:style w:type="character" w:styleId="187">
    <w:name w:val="FollowedHyperlink"/>
    <w:basedOn w:val="699"/>
    <w:uiPriority w:val="99"/>
    <w:semiHidden/>
    <w:unhideWhenUsed/>
    <w:pPr>
      <w:pBdr/>
      <w:spacing/>
      <w:ind/>
    </w:pPr>
    <w:rPr>
      <w:color w:val="954f72" w:themeColor="followedHyperlink"/>
      <w:u w:val="single"/>
    </w:rPr>
  </w:style>
  <w:style w:type="paragraph" w:styleId="188">
    <w:name w:val="toc 1"/>
    <w:basedOn w:val="698"/>
    <w:next w:val="698"/>
    <w:uiPriority w:val="39"/>
    <w:unhideWhenUsed/>
    <w:pPr>
      <w:pBdr/>
      <w:spacing w:after="100"/>
      <w:ind/>
    </w:pPr>
  </w:style>
  <w:style w:type="paragraph" w:styleId="189">
    <w:name w:val="toc 2"/>
    <w:basedOn w:val="698"/>
    <w:next w:val="698"/>
    <w:uiPriority w:val="39"/>
    <w:unhideWhenUsed/>
    <w:pPr>
      <w:pBdr/>
      <w:spacing w:after="100"/>
      <w:ind w:left="220"/>
    </w:pPr>
  </w:style>
  <w:style w:type="paragraph" w:styleId="190">
    <w:name w:val="toc 3"/>
    <w:basedOn w:val="698"/>
    <w:next w:val="698"/>
    <w:uiPriority w:val="39"/>
    <w:unhideWhenUsed/>
    <w:pPr>
      <w:pBdr/>
      <w:spacing w:after="100"/>
      <w:ind w:left="440"/>
    </w:pPr>
  </w:style>
  <w:style w:type="paragraph" w:styleId="191">
    <w:name w:val="toc 4"/>
    <w:basedOn w:val="698"/>
    <w:next w:val="698"/>
    <w:uiPriority w:val="39"/>
    <w:unhideWhenUsed/>
    <w:pPr>
      <w:pBdr/>
      <w:spacing w:after="100"/>
      <w:ind w:left="660"/>
    </w:pPr>
  </w:style>
  <w:style w:type="paragraph" w:styleId="192">
    <w:name w:val="toc 5"/>
    <w:basedOn w:val="698"/>
    <w:next w:val="698"/>
    <w:uiPriority w:val="39"/>
    <w:unhideWhenUsed/>
    <w:pPr>
      <w:pBdr/>
      <w:spacing w:after="100"/>
      <w:ind w:left="880"/>
    </w:pPr>
  </w:style>
  <w:style w:type="paragraph" w:styleId="193">
    <w:name w:val="toc 6"/>
    <w:basedOn w:val="698"/>
    <w:next w:val="698"/>
    <w:uiPriority w:val="39"/>
    <w:unhideWhenUsed/>
    <w:pPr>
      <w:pBdr/>
      <w:spacing w:after="100"/>
      <w:ind w:left="1100"/>
    </w:pPr>
  </w:style>
  <w:style w:type="paragraph" w:styleId="194">
    <w:name w:val="toc 7"/>
    <w:basedOn w:val="698"/>
    <w:next w:val="698"/>
    <w:uiPriority w:val="39"/>
    <w:unhideWhenUsed/>
    <w:pPr>
      <w:pBdr/>
      <w:spacing w:after="100"/>
      <w:ind w:left="1320"/>
    </w:pPr>
  </w:style>
  <w:style w:type="paragraph" w:styleId="195">
    <w:name w:val="toc 8"/>
    <w:basedOn w:val="698"/>
    <w:next w:val="698"/>
    <w:uiPriority w:val="39"/>
    <w:unhideWhenUsed/>
    <w:pPr>
      <w:pBdr/>
      <w:spacing w:after="100"/>
      <w:ind w:left="1540"/>
    </w:pPr>
  </w:style>
  <w:style w:type="paragraph" w:styleId="196">
    <w:name w:val="toc 9"/>
    <w:basedOn w:val="698"/>
    <w:next w:val="698"/>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698"/>
    <w:next w:val="698"/>
    <w:uiPriority w:val="99"/>
    <w:unhideWhenUsed/>
    <w:pPr>
      <w:pBdr/>
      <w:spacing w:after="0" w:afterAutospacing="0"/>
      <w:ind/>
    </w:pPr>
  </w:style>
  <w:style w:type="paragraph" w:styleId="698" w:default="1">
    <w:name w:val="Normal"/>
    <w:qFormat/>
    <w:pPr>
      <w:pBdr/>
      <w:spacing/>
      <w:ind/>
    </w:pPr>
  </w:style>
  <w:style w:type="character" w:styleId="699" w:default="1">
    <w:name w:val="Default Paragraph Font"/>
    <w:uiPriority w:val="1"/>
    <w:semiHidden/>
    <w:unhideWhenUsed/>
    <w:pPr>
      <w:pBdr/>
      <w:spacing/>
      <w:ind/>
    </w:pPr>
  </w:style>
  <w:style w:type="table" w:styleId="700"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01" w:default="1">
    <w:name w:val="No List"/>
    <w:uiPriority w:val="99"/>
    <w:semiHidden/>
    <w:unhideWhenUsed/>
    <w:pPr>
      <w:pBdr/>
      <w:spacing/>
      <w:ind/>
    </w:pPr>
  </w:style>
  <w:style w:type="paragraph" w:styleId="702">
    <w:name w:val="List Paragraph"/>
    <w:basedOn w:val="698"/>
    <w:uiPriority w:val="34"/>
    <w:qFormat/>
    <w:pPr>
      <w:pBdr/>
      <w:spacing/>
      <w:ind w:left="720"/>
      <w:contextualSpacing w:val="true"/>
    </w:pPr>
  </w:style>
  <w:style w:type="paragraph" w:styleId="703">
    <w:name w:val="Header"/>
    <w:basedOn w:val="698"/>
    <w:link w:val="704"/>
    <w:uiPriority w:val="99"/>
    <w:unhideWhenUsed/>
    <w:pPr>
      <w:pBdr/>
      <w:tabs>
        <w:tab w:val="center" w:leader="none" w:pos="4680"/>
        <w:tab w:val="right" w:leader="none" w:pos="9360"/>
      </w:tabs>
      <w:spacing w:after="0" w:line="240" w:lineRule="auto"/>
      <w:ind/>
    </w:pPr>
  </w:style>
  <w:style w:type="character" w:styleId="704" w:customStyle="1">
    <w:name w:val="Header Char"/>
    <w:basedOn w:val="699"/>
    <w:link w:val="703"/>
    <w:uiPriority w:val="99"/>
    <w:pPr>
      <w:pBdr/>
      <w:spacing/>
      <w:ind/>
    </w:pPr>
  </w:style>
  <w:style w:type="paragraph" w:styleId="705">
    <w:name w:val="Footer"/>
    <w:basedOn w:val="698"/>
    <w:link w:val="706"/>
    <w:uiPriority w:val="99"/>
    <w:unhideWhenUsed/>
    <w:pPr>
      <w:pBdr/>
      <w:tabs>
        <w:tab w:val="center" w:leader="none" w:pos="4680"/>
        <w:tab w:val="right" w:leader="none" w:pos="9360"/>
      </w:tabs>
      <w:spacing w:after="0" w:line="240" w:lineRule="auto"/>
      <w:ind/>
    </w:pPr>
  </w:style>
  <w:style w:type="character" w:styleId="706" w:customStyle="1">
    <w:name w:val="Footer Char"/>
    <w:basedOn w:val="699"/>
    <w:link w:val="705"/>
    <w:uiPriority w:val="99"/>
    <w:pPr>
      <w:pBdr/>
      <w:spacing/>
      <w:ind/>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991465-BDBE-40F7-9B7A-87A8D5E7ACE4}">
  <ds:schemaRefs>
    <ds:schemaRef ds:uri="http://schemas.microsoft.com/sharepoint/v3/contenttype/forms"/>
  </ds:schemaRefs>
</ds:datastoreItem>
</file>

<file path=customXml/itemProps2.xml><?xml version="1.0" encoding="utf-8"?>
<ds:datastoreItem xmlns:ds="http://schemas.openxmlformats.org/officeDocument/2006/customXml" ds:itemID="{1E38153F-83CE-4D9C-99B4-786AC75CE90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65C227C1-E9F0-46C2-9C16-B325BC9A03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onlyoffice/8.3.2.19</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Qaiser Rehman</cp:lastModifiedBy>
  <cp:revision>4</cp:revision>
  <dcterms:created xsi:type="dcterms:W3CDTF">2025-02-06T17:59:00Z</dcterms:created>
  <dcterms:modified xsi:type="dcterms:W3CDTF">2025-07-01T18:11:22Z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