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</w:t>
      </w:r>
      <w:r>
        <w:rPr>
          <w:rFonts w:ascii="Futura PT Demi" w:hAnsi="Futura PT Demi" w:cs="Arial"/>
          <w:sz w:val="28"/>
          <w:szCs w:val="28"/>
        </w:rPr>
        <w:t xml:space="preserve">04</w:t>
      </w:r>
      <w:r>
        <w:rPr>
          <w:rFonts w:ascii="Futura PT Demi" w:hAnsi="Futura PT Demi" w:cs="Arial"/>
          <w:sz w:val="28"/>
          <w:szCs w:val="28"/>
        </w:rPr>
        <w:t xml:space="preserve"> – Radiographic Technique</w:t>
      </w:r>
      <w:r>
        <w:rPr>
          <w:rFonts w:ascii="Futura PT Demi" w:hAnsi="Futura PT Demi" w:cs="Arial"/>
          <w:sz w:val="28"/>
          <w:szCs w:val="28"/>
        </w:rPr>
        <w:t xml:space="preserve"> </w:t>
      </w:r>
      <w:r>
        <w:rPr>
          <w:rFonts w:ascii="Futura PT Demi" w:hAnsi="Futura PT Demi" w:cs="Arial"/>
          <w:sz w:val="28"/>
          <w:szCs w:val="28"/>
        </w:rPr>
        <w:t xml:space="preserve">1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192"/>
        <w:ind w:left="218"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b/>
          <w:sz w:val="24"/>
          <w:szCs w:val="24"/>
          <w:u w:val="single"/>
        </w:rPr>
        <w:t xml:space="preserve">The Cardinal rule</w:t>
      </w:r>
      <w:r>
        <w:rPr>
          <w:rFonts w:ascii="Futura PT Book" w:hAnsi="Futura PT Book" w:eastAsia="Calibri" w:cs="Calibri"/>
          <w:b/>
          <w:sz w:val="24"/>
          <w:szCs w:val="24"/>
        </w:rPr>
        <w:t xml:space="preserve">: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982"/>
        <w:ind w:left="86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b/>
          <w:sz w:val="24"/>
          <w:szCs w:val="24"/>
        </w:rPr>
        <w:t xml:space="preserve">*</w:t>
      </w:r>
      <w:r>
        <w:rPr>
          <w:rFonts w:ascii="Futura PT Book" w:hAnsi="Futura PT Book" w:eastAsia="Calibri" w:cs="Calibri"/>
          <w:b/>
          <w:i/>
          <w:sz w:val="24"/>
          <w:szCs w:val="24"/>
        </w:rPr>
        <w:t xml:space="preserve">NEVER</w:t>
      </w:r>
      <w:r>
        <w:rPr>
          <w:rFonts w:ascii="Futura PT Book" w:hAnsi="Futura PT Book" w:eastAsia="Calibri" w:cs="Calibri"/>
          <w:b/>
          <w:sz w:val="24"/>
          <w:szCs w:val="24"/>
        </w:rPr>
        <w:t xml:space="preserve"> invade a patient’s </w:t>
      </w:r>
      <w:r>
        <w:rPr>
          <w:rFonts w:ascii="Futura PT Book" w:hAnsi="Futura PT Book" w:eastAsia="Calibri" w:cs="Calibri"/>
          <w:b/>
          <w:i/>
          <w:sz w:val="24"/>
          <w:szCs w:val="24"/>
        </w:rPr>
        <w:t xml:space="preserve">personal space</w:t>
      </w:r>
      <w:r>
        <w:rPr>
          <w:rFonts w:ascii="Futura PT Book" w:hAnsi="Futura PT Book" w:eastAsia="Calibri" w:cs="Calibri"/>
          <w:b/>
          <w:sz w:val="24"/>
          <w:szCs w:val="24"/>
        </w:rPr>
        <w:t xml:space="preserve"> when placing a marker*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47" w:line="283" w:lineRule="auto"/>
        <w:ind w:hanging="29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Hanging protocols determine marker placement (i.e. don’t place markers upside down)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60" w:line="283" w:lineRule="auto"/>
        <w:ind w:hanging="29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AP, PA, </w:t>
      </w:r>
      <w:r>
        <w:rPr>
          <w:rFonts w:ascii="Futura PT Book" w:hAnsi="Futura PT Book"/>
          <w:sz w:val="24"/>
          <w:szCs w:val="24"/>
          <w:u w:val="single"/>
        </w:rPr>
        <w:t xml:space="preserve">and</w:t>
      </w:r>
      <w:r>
        <w:rPr>
          <w:rFonts w:ascii="Futura PT Book" w:hAnsi="Futura PT Book"/>
          <w:sz w:val="24"/>
          <w:szCs w:val="24"/>
        </w:rPr>
        <w:t xml:space="preserve"> Oblique projections: place markers on the </w:t>
      </w:r>
      <w:r>
        <w:rPr>
          <w:rFonts w:ascii="Futura PT Book" w:hAnsi="Futura PT Book"/>
          <w:sz w:val="24"/>
          <w:szCs w:val="24"/>
        </w:rPr>
        <w:t xml:space="preserve">patient’s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 w:eastAsia="Calibri" w:cs="Calibri"/>
          <w:b/>
          <w:sz w:val="24"/>
          <w:szCs w:val="24"/>
        </w:rPr>
        <w:t xml:space="preserve">lateral</w:t>
      </w:r>
      <w:r>
        <w:rPr>
          <w:rFonts w:ascii="Futura PT Book" w:hAnsi="Futura PT Book"/>
          <w:sz w:val="24"/>
          <w:szCs w:val="24"/>
        </w:rPr>
        <w:t xml:space="preserve"> side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63" w:line="283" w:lineRule="auto"/>
        <w:ind w:hanging="29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b/>
          <w:color w:val="00b050"/>
          <w:sz w:val="24"/>
          <w:szCs w:val="24"/>
        </w:rPr>
        <w:t xml:space="preserve">Lateral projections:</w:t>
      </w:r>
      <w:r>
        <w:rPr>
          <w:rFonts w:ascii="Futura PT Book" w:hAnsi="Futura PT Book"/>
          <w:color w:val="00b05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place markers on the </w:t>
      </w:r>
      <w:r>
        <w:rPr>
          <w:rFonts w:ascii="Futura PT Book" w:hAnsi="Futura PT Book" w:eastAsia="Calibri" w:cs="Calibri"/>
          <w:b/>
          <w:color w:val="00b050"/>
          <w:sz w:val="24"/>
          <w:szCs w:val="24"/>
        </w:rPr>
        <w:t xml:space="preserve">anterior</w:t>
      </w:r>
      <w:r>
        <w:rPr>
          <w:rFonts w:ascii="Futura PT Book" w:hAnsi="Futura PT Book"/>
          <w:sz w:val="24"/>
          <w:szCs w:val="24"/>
        </w:rPr>
        <w:t xml:space="preserve"> side, indicating the side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closest</w:t>
      </w:r>
      <w:r>
        <w:rPr>
          <w:rFonts w:ascii="Futura PT Book" w:hAnsi="Futura PT Book"/>
          <w:sz w:val="24"/>
          <w:szCs w:val="24"/>
        </w:rPr>
        <w:t xml:space="preserve"> to the </w:t>
      </w:r>
      <w:r>
        <w:rPr>
          <w:rFonts w:ascii="Futura PT Book" w:hAnsi="Futura PT Book"/>
          <w:sz w:val="24"/>
          <w:szCs w:val="24"/>
        </w:rPr>
        <w:t xml:space="preserve">IR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73" w:line="283" w:lineRule="auto"/>
        <w:ind w:hanging="29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marker cannot superimpose essential anatomy (</w:t>
      </w:r>
      <w:r>
        <w:rPr>
          <w:rFonts w:ascii="Futura PT Book" w:hAnsi="Futura PT Book"/>
          <w:sz w:val="24"/>
          <w:szCs w:val="24"/>
        </w:rPr>
        <w:t xml:space="preserve">i.e.</w:t>
      </w:r>
      <w:r>
        <w:rPr>
          <w:rFonts w:ascii="Futura PT Book" w:hAnsi="Futura PT Book"/>
          <w:sz w:val="24"/>
          <w:szCs w:val="24"/>
        </w:rPr>
        <w:t xml:space="preserve"> when possible, do NOT place markers under “anatomy shadow”)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1289" w:line="283" w:lineRule="auto"/>
        <w:ind w:hanging="29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arrow is required for the axial clavicle </w:t>
      </w:r>
      <w:r>
        <w:rPr>
          <w:rFonts w:ascii="Futura PT Book" w:hAnsi="Futura PT Book"/>
          <w:sz w:val="24"/>
          <w:szCs w:val="24"/>
        </w:rPr>
        <w:t xml:space="preserve">projection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3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Considerations</w:t>
      </w:r>
      <w:r>
        <w:rPr>
          <w:rFonts w:ascii="Futura PT Book" w:hAnsi="Futura PT Book"/>
          <w:sz w:val="24"/>
          <w:szCs w:val="24"/>
        </w:rPr>
        <w:t xml:space="preserve">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334" w:line="283" w:lineRule="auto"/>
        <w:ind w:right="460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Markers should always be placed directly inside a lateral edge of the collimated light </w:t>
      </w:r>
      <w:r>
        <w:rPr>
          <w:rFonts w:ascii="Futura PT Book" w:hAnsi="Futura PT Book"/>
          <w:sz w:val="24"/>
          <w:szCs w:val="24"/>
        </w:rPr>
        <w:t xml:space="preserve">field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357" w:line="289" w:lineRule="auto"/>
        <w:ind w:right="460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</w:t>
      </w:r>
      <w:r>
        <w:rPr>
          <w:rFonts w:ascii="Futura PT Book" w:hAnsi="Futura PT Book"/>
          <w:sz w:val="24"/>
          <w:szCs w:val="24"/>
        </w:rPr>
        <w:t xml:space="preserve">patients</w:t>
      </w:r>
      <w:r>
        <w:rPr>
          <w:rFonts w:ascii="Futura PT Book" w:hAnsi="Futura PT Book"/>
          <w:sz w:val="24"/>
          <w:szCs w:val="24"/>
        </w:rPr>
        <w:t xml:space="preserve"> lateral side is determined from anatomic position </w:t>
      </w:r>
      <w:r>
        <w:rPr>
          <w:rFonts w:ascii="Futura PT Book" w:hAnsi="Futura PT Book" w:eastAsia="Courier New" w:cs="Courier New"/>
          <w:sz w:val="24"/>
          <w:szCs w:val="24"/>
        </w:rPr>
        <w:t xml:space="preserve">o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Example: marker is placed on the “thumb side” for hand projections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364" w:line="283" w:lineRule="auto"/>
        <w:ind w:right="460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Adjust marker placement if the rules cause an invasion of a patient’s personal space </w:t>
      </w:r>
      <w:r>
        <w:rPr>
          <w:rFonts w:ascii="Futura PT Book" w:hAnsi="Futura PT Book" w:eastAsia="Courier New" w:cs="Courier New"/>
          <w:sz w:val="24"/>
          <w:szCs w:val="24"/>
        </w:rPr>
        <w:t xml:space="preserve">o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Example: marker is placed on posterior side for the lateral humerus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projection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364" w:line="283" w:lineRule="auto"/>
        <w:ind w:right="460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Markers will superimpose non-essential anatomy when imaging larger body parts </w:t>
      </w:r>
      <w:r>
        <w:rPr>
          <w:rFonts w:ascii="Futura PT Book" w:hAnsi="Futura PT Book" w:eastAsia="Courier New" w:cs="Courier New"/>
          <w:sz w:val="24"/>
          <w:szCs w:val="24"/>
        </w:rPr>
        <w:t xml:space="preserve">o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Example: marker is placed on the patient for the AP Pelvis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projection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0" w:line="283" w:lineRule="auto"/>
        <w:ind w:right="460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Marker rules change from workplace to workplace</w:t>
      </w:r>
      <w:r>
        <w:rPr>
          <w:rFonts w:ascii="Futura PT Book" w:hAnsi="Futura PT Book"/>
          <w:sz w:val="24"/>
          <w:szCs w:val="24"/>
        </w:rPr>
        <w:t xml:space="preserve">.  Always familiarize yourself with site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specific rules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egoe UI Symbol">
    <w:panose1 w:val="020B0502040504020204"/>
  </w:font>
  <w:font w:name="Batang">
    <w:panose1 w:val="02020603020101020101"/>
  </w:font>
  <w:font w:name="Calibri">
    <w:panose1 w:val="020F050202020403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left="293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•"/>
      <w:numFmt w:val="bullet"/>
      <w:pPr>
        <w:pBdr/>
        <w:spacing/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08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18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52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24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39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468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4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12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8"/>
    <w:next w:val="74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8"/>
    <w:next w:val="7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8"/>
    <w:next w:val="7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8"/>
    <w:next w:val="7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8"/>
    <w:next w:val="7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8"/>
    <w:next w:val="74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8"/>
    <w:next w:val="7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8"/>
    <w:next w:val="7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8"/>
    <w:next w:val="7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8"/>
    <w:next w:val="7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189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190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191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192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193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194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195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196">
    <w:name w:val="toc 9"/>
    <w:basedOn w:val="748"/>
    <w:next w:val="7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8"/>
    <w:next w:val="748"/>
    <w:uiPriority w:val="99"/>
    <w:unhideWhenUsed/>
    <w:pPr>
      <w:pBdr/>
      <w:spacing w:after="0" w:afterAutospacing="0"/>
      <w:ind/>
    </w:pPr>
  </w:style>
  <w:style w:type="paragraph" w:styleId="748" w:default="1">
    <w:name w:val="Normal"/>
    <w:qFormat/>
    <w:pPr>
      <w:pBdr/>
      <w:spacing/>
      <w:ind/>
    </w:pPr>
  </w:style>
  <w:style w:type="paragraph" w:styleId="749">
    <w:name w:val="Heading 1"/>
    <w:basedOn w:val="748"/>
    <w:link w:val="7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0">
    <w:name w:val="Heading 2"/>
    <w:basedOn w:val="748"/>
    <w:next w:val="748"/>
    <w:link w:val="76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1">
    <w:name w:val="Heading 3"/>
    <w:basedOn w:val="748"/>
    <w:next w:val="748"/>
    <w:link w:val="77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2">
    <w:name w:val="Heading 5"/>
    <w:basedOn w:val="748"/>
    <w:next w:val="748"/>
    <w:link w:val="773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Header"/>
    <w:basedOn w:val="748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Header Char"/>
    <w:basedOn w:val="753"/>
    <w:link w:val="756"/>
    <w:uiPriority w:val="99"/>
    <w:pPr>
      <w:pBdr/>
      <w:spacing/>
      <w:ind/>
    </w:pPr>
  </w:style>
  <w:style w:type="paragraph" w:styleId="758">
    <w:name w:val="Footer"/>
    <w:basedOn w:val="748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Footer Char"/>
    <w:basedOn w:val="753"/>
    <w:link w:val="758"/>
    <w:uiPriority w:val="99"/>
    <w:pPr>
      <w:pBdr/>
      <w:spacing/>
      <w:ind/>
    </w:pPr>
  </w:style>
  <w:style w:type="table" w:styleId="760" w:customStyle="1">
    <w:name w:val="Proposal Table"/>
    <w:basedOn w:val="7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1">
    <w:name w:val="Placeholder Text"/>
    <w:basedOn w:val="7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2">
    <w:name w:val="Normal (Web)"/>
    <w:basedOn w:val="74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3" w:customStyle="1">
    <w:name w:val="Heading 1 Char"/>
    <w:basedOn w:val="753"/>
    <w:link w:val="74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4" w:customStyle="1">
    <w:name w:val="Heading 2 Char"/>
    <w:basedOn w:val="753"/>
    <w:link w:val="75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5">
    <w:name w:val="Table Grid"/>
    <w:basedOn w:val="7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Body Text"/>
    <w:basedOn w:val="748"/>
    <w:link w:val="76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7" w:customStyle="1">
    <w:name w:val="Body Text Char"/>
    <w:basedOn w:val="753"/>
    <w:link w:val="766"/>
    <w:pPr>
      <w:pBdr/>
      <w:spacing/>
      <w:ind/>
    </w:pPr>
    <w:rPr>
      <w:rFonts w:ascii="Cambria" w:hAnsi="Cambria" w:eastAsia="Cambria"/>
      <w:lang w:val="en-US"/>
    </w:rPr>
  </w:style>
  <w:style w:type="paragraph" w:styleId="768" w:customStyle="1">
    <w:name w:val="Table Paragraph"/>
    <w:basedOn w:val="74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9">
    <w:name w:val="No Spacing"/>
    <w:link w:val="7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0" w:customStyle="1">
    <w:name w:val="No Spacing Char"/>
    <w:link w:val="769"/>
    <w:uiPriority w:val="1"/>
    <w:pPr>
      <w:pBdr/>
      <w:spacing/>
      <w:ind/>
    </w:pPr>
    <w:rPr>
      <w:lang w:val="en-US"/>
    </w:rPr>
  </w:style>
  <w:style w:type="paragraph" w:styleId="771">
    <w:name w:val="List Paragraph"/>
    <w:basedOn w:val="748"/>
    <w:uiPriority w:val="1"/>
    <w:qFormat/>
    <w:pPr>
      <w:pBdr/>
      <w:spacing/>
      <w:ind w:left="720"/>
      <w:contextualSpacing w:val="true"/>
    </w:pPr>
  </w:style>
  <w:style w:type="character" w:styleId="772" w:customStyle="1">
    <w:name w:val="Heading 3 Char"/>
    <w:basedOn w:val="753"/>
    <w:link w:val="7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customStyle="1">
    <w:name w:val="Heading 5 Char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667ACE-69A1-4F6A-BDA5-C4244FC5D3C4}"/>
</file>

<file path=customXml/itemProps2.xml><?xml version="1.0" encoding="utf-8"?>
<ds:datastoreItem xmlns:ds="http://schemas.openxmlformats.org/officeDocument/2006/customXml" ds:itemID="{24FC7F27-500F-4CD0-8FCC-D711790E3DF9}"/>
</file>

<file path=customXml/itemProps3.xml><?xml version="1.0" encoding="utf-8"?>
<ds:datastoreItem xmlns:ds="http://schemas.openxmlformats.org/officeDocument/2006/customXml" ds:itemID="{31D1F970-96EE-4415-813E-C192E886CAB4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