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 - </w:t>
      </w:r>
      <w:r>
        <w:rPr>
          <w:rFonts w:ascii="Futura PT Demi" w:hAnsi="Futura PT Demi"/>
          <w:b/>
          <w:sz w:val="28"/>
          <w:szCs w:val="28"/>
        </w:rPr>
        <w:t xml:space="preserve">Advanced Medical Accessory Equipment 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Questions 1-10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sz w:val="24"/>
          <w:szCs w:val="24"/>
        </w:rPr>
        <w:t xml:space="preserve"> Answer the following questions: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What are the three functions of a nasogastric (NG) tube?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In which modality would an NG tube be inserted to optimize the images?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Name the two types of NG tubes used for decompression.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Name the </w:t>
      </w:r>
      <w:r>
        <w:rPr>
          <w:rFonts w:ascii="Futura PT Book" w:hAnsi="Futura PT Book"/>
          <w:sz w:val="24"/>
          <w:szCs w:val="24"/>
          <w:lang w:eastAsia="en-CA"/>
        </w:rPr>
        <w:t xml:space="preserve">nasoenteric</w:t>
      </w:r>
      <w:r>
        <w:rPr>
          <w:rFonts w:ascii="Futura PT Book" w:hAnsi="Futura PT Book"/>
          <w:sz w:val="24"/>
          <w:szCs w:val="24"/>
          <w:lang w:eastAsia="en-CA"/>
        </w:rPr>
        <w:t xml:space="preserve"> (NE) tube which promotes peristalsis.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Explain the rationale for performing a chest x-ray on a patient who recently had an NG tube inserted.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Are the electrocardiogram (ECG) leads placed on the ribs or the intercostal spaces and why?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List the three classifications of central venous catheters (CVCs).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What is the purpose of a Groshong catheter?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Which healthcare provider can access CVCs?</w:t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List the locations where CVCs can be inserted.</w:t>
      </w:r>
      <w:r>
        <w:rPr>
          <w:rFonts w:ascii="Futura PT Book" w:hAnsi="Futura PT Book"/>
          <w:sz w:val="24"/>
          <w:szCs w:val="24"/>
          <w:lang w:eastAsia="en-CA"/>
        </w:rPr>
        <w:br/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9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5"/>
  </w:num>
  <w:num w:numId="25">
    <w:abstractNumId w:val="2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9836F9-9424-451F-847C-0D322601E8DA}"/>
</file>

<file path=customXml/itemProps2.xml><?xml version="1.0" encoding="utf-8"?>
<ds:datastoreItem xmlns:ds="http://schemas.openxmlformats.org/officeDocument/2006/customXml" ds:itemID="{128CD8A1-F242-4CE5-B593-CFBD5901CE89}"/>
</file>

<file path=customXml/itemProps3.xml><?xml version="1.0" encoding="utf-8"?>
<ds:datastoreItem xmlns:ds="http://schemas.openxmlformats.org/officeDocument/2006/customXml" ds:itemID="{294FFCED-0545-4497-8BD6-D59C96B72C48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