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tbl>
      <w:tblPr>
        <w:tblStyle w:val="664"/>
        <w:tblpPr w:horzAnchor="page" w:tblpX="571" w:vertAnchor="page" w:tblpY="725" w:leftFromText="0" w:topFromText="0" w:rightFromText="0" w:bottomFromText="0"/>
        <w:tblOverlap w:val="never"/>
        <w:tblW w:w="14596" w:type="dxa"/>
        <w:tblInd w:w="0" w:type="dxa"/>
        <w:tblBorders/>
        <w:tblCellMar>
          <w:left w:w="108" w:type="dxa"/>
          <w:top w:w="45" w:type="dxa"/>
          <w:right w:w="63" w:type="dxa"/>
        </w:tblCellMar>
        <w:tblLook w:val="04A0" w:firstRow="1" w:lastRow="0" w:firstColumn="1" w:lastColumn="0" w:noHBand="0" w:noVBand="1"/>
      </w:tblPr>
      <w:tblGrid>
        <w:gridCol w:w="2000"/>
        <w:gridCol w:w="3104"/>
        <w:gridCol w:w="3404"/>
        <w:gridCol w:w="3401"/>
        <w:gridCol w:w="2687"/>
      </w:tblGrid>
      <w:tr>
        <w:trPr>
          <w:trHeight w:val="1181"/>
        </w:trPr>
        <w:tc>
          <w:tcPr>
            <w:gridSpan w:val="4"/>
            <w:tcBorders>
              <w:top w:val="single" w:color="000000" w:sz="4" w:space="0"/>
              <w:left w:val="single" w:color="000000" w:sz="4" w:space="0"/>
              <w:bottom w:val="single" w:color="000000" w:sz="4" w:space="0"/>
              <w:right w:val="none" w:color="000000" w:sz="4" w:space="0"/>
            </w:tcBorders>
            <w:tcW w:w="11909" w:type="dxa"/>
            <w:textDirection w:val="lrTb"/>
            <w:noWrap w:val="false"/>
          </w:tcPr>
          <w:p>
            <w:pPr>
              <w:pBdr/>
              <w:spacing/>
              <w:ind/>
              <w:rPr/>
            </w:pPr>
            <w:r>
              <w:rPr>
                <w:b/>
                <w:u w:val="single"/>
              </w:rPr>
              <w:t xml:space="preserve">Respiratory Pathology Chart – Chapter 3</w:t>
            </w:r>
            <w:r>
              <w:rPr>
                <w:b/>
              </w:rPr>
              <w:t xml:space="preserve"> </w:t>
            </w:r>
            <w:r>
              <w:rPr>
                <w:b/>
              </w:rPr>
              <w:t xml:space="preserve">– ANSWER KEY</w:t>
            </w:r>
            <w:r/>
          </w:p>
          <w:p>
            <w:pPr>
              <w:pBdr/>
              <w:spacing/>
              <w:ind/>
              <w:rPr/>
            </w:pPr>
            <w:r>
              <w:t xml:space="preserve">Referenced from ANPH 252 course textbooks:  </w:t>
            </w:r>
            <w:r/>
          </w:p>
          <w:p>
            <w:pPr>
              <w:pBdr/>
              <w:spacing/>
              <w:ind w:right="367"/>
              <w:rPr/>
            </w:pPr>
            <w:r>
              <w:t xml:space="preserve">Eisenberg, R. L. and Johnson, N. L..</w:t>
            </w:r>
            <w:r>
              <w:t xml:space="preserve"> Comprehensive Radiographic Pathology. St. Louis, MO: Elsevier Patton, K. T. and Thibodeau, G.A..  The Human Body in Health and Disease. Maryland Heights, MO: Elsevier</w:t>
            </w:r>
            <w:r>
              <w:rPr>
                <w:rFonts w:ascii="Times New Roman" w:hAnsi="Times New Roman" w:eastAsia="Times New Roman" w:cs="Times New Roman"/>
                <w:color w:val="3366ff"/>
                <w:sz w:val="20"/>
              </w:rPr>
              <w:t xml:space="preserve"> </w:t>
            </w:r>
            <w:r/>
          </w:p>
        </w:tc>
        <w:tc>
          <w:tcPr>
            <w:tcBorders>
              <w:top w:val="single" w:color="000000" w:sz="4" w:space="0"/>
              <w:left w:val="none" w:color="000000" w:sz="4" w:space="0"/>
              <w:bottom w:val="single" w:color="000000" w:sz="4" w:space="0"/>
              <w:right w:val="single" w:color="auto" w:sz="4" w:space="0"/>
            </w:tcBorders>
            <w:tcW w:w="2687" w:type="dxa"/>
            <w:textDirection w:val="lrTb"/>
            <w:noWrap w:val="false"/>
          </w:tcPr>
          <w:p>
            <w:pPr>
              <w:pBdr/>
              <w:spacing/>
              <w:ind/>
              <w:rPr>
                <w:b/>
                <w:bCs/>
              </w:rPr>
            </w:pPr>
            <w:r>
              <w:rPr>
                <w:b/>
                <w:bCs/>
              </w:rPr>
            </w:r>
            <w:r>
              <w:rPr>
                <w:b/>
                <w:bCs/>
              </w:rPr>
            </w:r>
          </w:p>
        </w:tc>
      </w:tr>
      <w:tr>
        <w:trPr>
          <w:trHeight w:val="2449"/>
        </w:trPr>
        <w:tc>
          <w:tcPr>
            <w:tcBorders>
              <w:top w:val="single" w:color="000000" w:sz="4" w:space="0"/>
              <w:left w:val="single" w:color="000000" w:sz="4" w:space="0"/>
              <w:bottom w:val="single" w:color="000000" w:sz="4" w:space="0"/>
              <w:right w:val="single" w:color="000000" w:sz="4" w:space="0"/>
            </w:tcBorders>
            <w:tcW w:w="2000" w:type="dxa"/>
            <w:textDirection w:val="lrTb"/>
            <w:noWrap w:val="false"/>
          </w:tcPr>
          <w:p>
            <w:pPr>
              <w:pBdr/>
              <w:spacing/>
              <w:ind/>
              <w:rPr/>
            </w:pPr>
            <w:r>
              <w:rPr>
                <w:b/>
                <w:sz w:val="20"/>
              </w:rPr>
              <w:t xml:space="preserve">Pulmonary edema </w:t>
            </w:r>
            <w:r/>
          </w:p>
        </w:tc>
        <w:tc>
          <w:tcPr>
            <w:tcBorders>
              <w:top w:val="single" w:color="000000" w:sz="4" w:space="0"/>
              <w:left w:val="single" w:color="000000" w:sz="4" w:space="0"/>
              <w:bottom w:val="single" w:color="000000" w:sz="4" w:space="0"/>
              <w:right w:val="single" w:color="000000" w:sz="4" w:space="0"/>
            </w:tcBorders>
            <w:tcW w:w="3104" w:type="dxa"/>
            <w:textDirection w:val="lrTb"/>
            <w:noWrap w:val="false"/>
          </w:tcPr>
          <w:p>
            <w:pPr>
              <w:pBdr/>
              <w:spacing/>
              <w:ind w:right="31"/>
              <w:rPr/>
            </w:pPr>
            <w:r>
              <w:rPr>
                <w:b/>
                <w:sz w:val="20"/>
              </w:rPr>
              <w:t xml:space="preserve">What is it? </w:t>
            </w:r>
            <w:r>
              <w:rPr>
                <w:sz w:val="20"/>
              </w:rPr>
              <w:t xml:space="preserve">Build-up of fluid in the interstitial spaces of the lung parenchyma, due to increased pulmonary venous pressure.  Most commonly caused by left-sided heart failure, but may also originate from valve disease, </w:t>
            </w:r>
            <w:r>
              <w:rPr>
                <w:sz w:val="20"/>
              </w:rPr>
              <w:t xml:space="preserve">leftatrial</w:t>
            </w:r>
            <w:r>
              <w:rPr>
                <w:sz w:val="20"/>
              </w:rPr>
              <w:t xml:space="preserve"> tumor, or lymphatic blockage.</w:t>
            </w:r>
            <w:r>
              <w:rPr>
                <w:b/>
                <w:sz w:val="20"/>
              </w:rPr>
              <w:t xml:space="preserve"> </w:t>
            </w:r>
            <w:r/>
          </w:p>
        </w:tc>
        <w:tc>
          <w:tcPr>
            <w:tcBorders>
              <w:top w:val="single" w:color="000000" w:sz="4" w:space="0"/>
              <w:left w:val="single" w:color="000000" w:sz="4" w:space="0"/>
              <w:bottom w:val="single" w:color="000000" w:sz="4" w:space="0"/>
              <w:right w:val="single" w:color="000000" w:sz="4" w:space="0"/>
            </w:tcBorders>
            <w:tcW w:w="3404" w:type="dxa"/>
            <w:textDirection w:val="lrTb"/>
            <w:noWrap w:val="false"/>
          </w:tcPr>
          <w:p>
            <w:pPr>
              <w:pBdr/>
              <w:spacing w:after="246" w:line="240" w:lineRule="auto"/>
              <w:ind w:right="394" w:left="2"/>
              <w:jc w:val="both"/>
              <w:rPr/>
            </w:pPr>
            <w:r>
              <w:rPr>
                <w:b/>
                <w:sz w:val="20"/>
              </w:rPr>
              <w:t xml:space="preserve">Complications:  </w:t>
            </w:r>
            <w:r>
              <w:rPr>
                <w:sz w:val="20"/>
              </w:rPr>
              <w:t xml:space="preserve">compromised lung function, sometimes described as “drowning from the inside out”</w:t>
            </w:r>
            <w:r>
              <w:rPr>
                <w:b/>
                <w:sz w:val="20"/>
              </w:rPr>
              <w:t xml:space="preserve"> </w:t>
            </w:r>
            <w:r>
              <w:rPr>
                <w:sz w:val="20"/>
              </w:rPr>
              <w:t xml:space="preserve"> </w:t>
            </w:r>
            <w:r/>
          </w:p>
          <w:p>
            <w:pPr>
              <w:pBdr/>
              <w:spacing/>
              <w:ind w:left="2"/>
              <w:rPr/>
            </w:pPr>
            <w:r>
              <w:rPr>
                <w:sz w:val="20"/>
              </w:rPr>
              <w:t xml:space="preserve">Treatment includes avoiding physical stress, decreasing salt intake, wearing compressive stockings, and medications to reduce fluid retention.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line="241" w:lineRule="auto"/>
              <w:ind/>
              <w:rPr/>
            </w:pPr>
            <w:r>
              <w:rPr>
                <w:b/>
                <w:sz w:val="20"/>
              </w:rPr>
              <w:t xml:space="preserve">Radiographic considerations:  </w:t>
            </w:r>
            <w:r>
              <w:rPr>
                <w:sz w:val="20"/>
              </w:rPr>
              <w:t xml:space="preserve">Loss of clearly defined lung markings.  Severe cases that involve the </w:t>
            </w:r>
            <w:r>
              <w:rPr>
                <w:sz w:val="20"/>
              </w:rPr>
              <w:t xml:space="preserve">aveolar</w:t>
            </w:r>
            <w:r>
              <w:rPr>
                <w:sz w:val="20"/>
              </w:rPr>
              <w:t xml:space="preserve"> sacs will cause the “bat’s wing or butterfly sign”</w:t>
            </w:r>
            <w:r>
              <w:rPr>
                <w:b/>
                <w:sz w:val="20"/>
              </w:rPr>
              <w:t xml:space="preserve"> </w:t>
            </w:r>
            <w:r>
              <w:rPr>
                <w:sz w:val="20"/>
              </w:rPr>
              <w:t xml:space="preserve">demonstrated in fig. 7-22.  </w:t>
            </w:r>
            <w:r/>
          </w:p>
          <w:p>
            <w:pPr>
              <w:pBdr/>
              <w:spacing/>
              <w:ind/>
              <w:rPr/>
            </w:pPr>
            <w:r>
              <w:rPr>
                <w:sz w:val="20"/>
              </w:rPr>
              <w:t xml:space="preserve">Right-sided pleural effusion is also </w:t>
            </w:r>
            <w:r/>
          </w:p>
          <w:p>
            <w:pPr>
              <w:pBdr/>
              <w:spacing/>
              <w:ind/>
              <w:rPr/>
            </w:pPr>
            <w:r>
              <w:rPr>
                <w:sz w:val="20"/>
              </w:rPr>
              <w:t xml:space="preserve">common </w:t>
            </w:r>
            <w:r/>
          </w:p>
        </w:tc>
        <w:tc>
          <w:tcPr>
            <w:tcBorders>
              <w:top w:val="single" w:color="000000" w:sz="4" w:space="0"/>
              <w:left w:val="single" w:color="000000" w:sz="4" w:space="0"/>
              <w:bottom w:val="single" w:color="000000" w:sz="4" w:space="0"/>
              <w:right w:val="single" w:color="auto" w:sz="4" w:space="0"/>
            </w:tcBorders>
            <w:tcW w:w="2687" w:type="dxa"/>
            <w:textDirection w:val="lrTb"/>
            <w:noWrap w:val="false"/>
          </w:tcPr>
          <w:p>
            <w:pPr>
              <w:pBdr/>
              <w:spacing/>
              <w:ind w:left="2"/>
              <w:rPr/>
            </w:pPr>
            <w:r>
              <w:rPr>
                <w:b/>
                <w:sz w:val="20"/>
              </w:rPr>
              <w:t xml:space="preserve">Eisenberg 7-21, 7-22, 7-23 </w:t>
            </w:r>
            <w:r/>
          </w:p>
        </w:tc>
      </w:tr>
      <w:tr>
        <w:trPr>
          <w:trHeight w:val="2880"/>
        </w:trPr>
        <w:tc>
          <w:tcPr>
            <w:tcBorders>
              <w:top w:val="single" w:color="000000" w:sz="4" w:space="0"/>
              <w:left w:val="single" w:color="000000" w:sz="4" w:space="0"/>
              <w:bottom w:val="single" w:color="000000" w:sz="4" w:space="0"/>
              <w:right w:val="single" w:color="000000" w:sz="4" w:space="0"/>
            </w:tcBorders>
            <w:tcW w:w="2000" w:type="dxa"/>
            <w:textDirection w:val="lrTb"/>
            <w:noWrap w:val="false"/>
          </w:tcPr>
          <w:p>
            <w:pPr>
              <w:pBdr/>
              <w:spacing/>
              <w:ind/>
              <w:rPr/>
            </w:pPr>
            <w:r>
              <w:rPr>
                <w:b/>
                <w:sz w:val="20"/>
              </w:rPr>
              <w:t xml:space="preserve">Pleural effusion </w:t>
            </w:r>
            <w:r/>
          </w:p>
        </w:tc>
        <w:tc>
          <w:tcPr>
            <w:tcBorders>
              <w:top w:val="single" w:color="000000" w:sz="4" w:space="0"/>
              <w:left w:val="single" w:color="000000" w:sz="4" w:space="0"/>
              <w:bottom w:val="single" w:color="000000" w:sz="4" w:space="0"/>
              <w:right w:val="single" w:color="000000" w:sz="4" w:space="0"/>
            </w:tcBorders>
            <w:tcW w:w="3104" w:type="dxa"/>
            <w:textDirection w:val="lrTb"/>
            <w:noWrap w:val="false"/>
          </w:tcPr>
          <w:p>
            <w:pPr>
              <w:pBdr/>
              <w:spacing w:after="1" w:line="241" w:lineRule="auto"/>
              <w:ind/>
              <w:rPr/>
            </w:pPr>
            <w:r>
              <w:rPr>
                <w:b/>
                <w:sz w:val="20"/>
              </w:rPr>
              <w:t xml:space="preserve">What is it?</w:t>
            </w:r>
            <w:r>
              <w:rPr>
                <w:sz w:val="20"/>
              </w:rPr>
              <w:t xml:space="preserve">  A buildup of fluid in the pleural space, caused by a wide variety of pathologies including CHF, pulmonary embolism, </w:t>
            </w:r>
            <w:r/>
          </w:p>
          <w:p>
            <w:pPr>
              <w:pBdr/>
              <w:spacing/>
              <w:ind w:right="19"/>
              <w:rPr/>
            </w:pPr>
            <w:r>
              <w:rPr>
                <w:sz w:val="20"/>
              </w:rPr>
              <w:t xml:space="preserve">infection, pleurisy, CA, ascites, abdominal disease, and pancreatitis </w:t>
            </w:r>
            <w:r/>
          </w:p>
        </w:tc>
        <w:tc>
          <w:tcPr>
            <w:tcBorders>
              <w:top w:val="single" w:color="000000" w:sz="4" w:space="0"/>
              <w:left w:val="single" w:color="000000" w:sz="4" w:space="0"/>
              <w:bottom w:val="single" w:color="000000" w:sz="4" w:space="0"/>
              <w:right w:val="single" w:color="000000" w:sz="4" w:space="0"/>
            </w:tcBorders>
            <w:tcW w:w="3404" w:type="dxa"/>
            <w:textDirection w:val="lrTb"/>
            <w:noWrap w:val="false"/>
          </w:tcPr>
          <w:p>
            <w:pPr>
              <w:pBdr/>
              <w:spacing/>
              <w:ind w:left="2"/>
              <w:rPr/>
            </w:pPr>
            <w:r>
              <w:rPr>
                <w:b/>
                <w:sz w:val="20"/>
              </w:rPr>
              <w:t xml:space="preserve">Complications: </w:t>
            </w:r>
            <w:r>
              <w:rPr>
                <w:sz w:val="20"/>
              </w:rPr>
              <w:t xml:space="preserve">Massive effusions may compress the adjacent lung or displace the heart and mediastinum.</w:t>
            </w:r>
            <w:r>
              <w:rPr>
                <w:b/>
                <w:sz w:val="20"/>
              </w:rPr>
              <w:t xml:space="preserve">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ight="98"/>
              <w:jc w:val="both"/>
              <w:rPr/>
            </w:pPr>
            <w:r>
              <w:rPr>
                <w:b/>
                <w:sz w:val="20"/>
              </w:rPr>
              <w:t xml:space="preserve">Radiographic considerations:  </w:t>
            </w:r>
            <w:r>
              <w:rPr>
                <w:sz w:val="20"/>
              </w:rPr>
              <w:t xml:space="preserve">Most commonly appears as blunting of the costophrenic angles and an upward concave border of flu</w:t>
            </w:r>
            <w:r>
              <w:rPr>
                <w:sz w:val="20"/>
              </w:rPr>
              <w:t xml:space="preserve">id. Small effusions are best demonstrated in decubitus images with the affected side down.  Pleural fluid that is fixed in place by inflammatory fibrosis will mimic a mass, and an effusion in the inferior pleural cavity can look like an elevated diaphragm.</w:t>
            </w:r>
            <w:r>
              <w:rPr>
                <w:b/>
                <w:sz w:val="20"/>
              </w:rPr>
              <w:t xml:space="preserve">  </w:t>
            </w:r>
            <w:r/>
          </w:p>
        </w:tc>
        <w:tc>
          <w:tcPr>
            <w:tcBorders>
              <w:top w:val="single" w:color="000000" w:sz="4" w:space="0"/>
              <w:left w:val="single" w:color="000000" w:sz="4" w:space="0"/>
              <w:bottom w:val="single" w:color="000000" w:sz="4" w:space="0"/>
              <w:right w:val="single" w:color="auto" w:sz="4" w:space="0"/>
            </w:tcBorders>
            <w:tcW w:w="2687" w:type="dxa"/>
            <w:textDirection w:val="lrTb"/>
            <w:noWrap w:val="false"/>
          </w:tcPr>
          <w:p>
            <w:pPr>
              <w:pBdr/>
              <w:spacing/>
              <w:ind w:left="2"/>
              <w:rPr/>
            </w:pPr>
            <w:r>
              <w:rPr>
                <w:b/>
                <w:sz w:val="20"/>
              </w:rPr>
              <w:t xml:space="preserve">Eisenberg 3-87 </w:t>
            </w:r>
            <w:r>
              <w:rPr>
                <w:b/>
                <w:sz w:val="20"/>
              </w:rPr>
              <w:t xml:space="preserve">thrue</w:t>
            </w:r>
            <w:r>
              <w:rPr>
                <w:b/>
                <w:sz w:val="20"/>
              </w:rPr>
              <w:t xml:space="preserve"> 3-91 </w:t>
            </w:r>
            <w:r/>
          </w:p>
        </w:tc>
      </w:tr>
      <w:tr>
        <w:trPr>
          <w:trHeight w:val="3025"/>
        </w:trPr>
        <w:tc>
          <w:tcPr>
            <w:tcBorders>
              <w:top w:val="single" w:color="000000" w:sz="4" w:space="0"/>
              <w:left w:val="single" w:color="000000" w:sz="4" w:space="0"/>
              <w:bottom w:val="single" w:color="000000" w:sz="4" w:space="0"/>
              <w:right w:val="single" w:color="000000" w:sz="4" w:space="0"/>
            </w:tcBorders>
            <w:tcW w:w="2000" w:type="dxa"/>
            <w:textDirection w:val="lrTb"/>
            <w:noWrap w:val="false"/>
          </w:tcPr>
          <w:p>
            <w:pPr>
              <w:pBdr/>
              <w:spacing/>
              <w:ind/>
              <w:rPr/>
            </w:pPr>
            <w:r>
              <w:rPr>
                <w:b/>
                <w:sz w:val="20"/>
              </w:rPr>
              <w:t xml:space="preserve">Pneumothorax </w:t>
            </w:r>
            <w:r/>
          </w:p>
        </w:tc>
        <w:tc>
          <w:tcPr>
            <w:tcBorders>
              <w:top w:val="single" w:color="000000" w:sz="4" w:space="0"/>
              <w:left w:val="single" w:color="000000" w:sz="4" w:space="0"/>
              <w:bottom w:val="single" w:color="000000" w:sz="4" w:space="0"/>
              <w:right w:val="single" w:color="000000" w:sz="4" w:space="0"/>
            </w:tcBorders>
            <w:tcW w:w="3104" w:type="dxa"/>
            <w:textDirection w:val="lrTb"/>
            <w:noWrap w:val="false"/>
          </w:tcPr>
          <w:p>
            <w:pPr>
              <w:pBdr/>
              <w:spacing/>
              <w:ind/>
              <w:rPr/>
            </w:pPr>
            <w:r>
              <w:rPr>
                <w:b/>
                <w:sz w:val="20"/>
              </w:rPr>
              <w:t xml:space="preserve">What is it</w:t>
            </w:r>
            <w:r>
              <w:rPr>
                <w:sz w:val="20"/>
              </w:rPr>
              <w:t xml:space="preserve">- An accumulation of free air or gas in the pleural cavity that compresses the lung and causes partial or complete lung collapse.  Can occur spontaneously in a healthy young adult, or from trauma (</w:t>
            </w:r>
            <w:r>
              <w:rPr>
                <w:sz w:val="20"/>
              </w:rPr>
              <w:t xml:space="preserve">eg.</w:t>
            </w:r>
            <w:r>
              <w:rPr>
                <w:sz w:val="20"/>
              </w:rPr>
              <w:t xml:space="preserve"> # rib, stabbing, lung biopsy, chest tube placement) </w:t>
            </w:r>
            <w:r/>
          </w:p>
        </w:tc>
        <w:tc>
          <w:tcPr>
            <w:tcBorders>
              <w:top w:val="single" w:color="000000" w:sz="4" w:space="0"/>
              <w:left w:val="single" w:color="000000" w:sz="4" w:space="0"/>
              <w:bottom w:val="single" w:color="000000" w:sz="4" w:space="0"/>
              <w:right w:val="single" w:color="000000" w:sz="4" w:space="0"/>
            </w:tcBorders>
            <w:tcW w:w="3404" w:type="dxa"/>
            <w:textDirection w:val="lrTb"/>
            <w:noWrap w:val="false"/>
          </w:tcPr>
          <w:p>
            <w:pPr>
              <w:pBdr/>
              <w:spacing w:after="487" w:line="242" w:lineRule="auto"/>
              <w:ind w:left="2"/>
              <w:rPr/>
            </w:pPr>
            <w:r>
              <w:rPr>
                <w:b/>
                <w:sz w:val="20"/>
              </w:rPr>
              <w:t xml:space="preserve">Symptoms and complications-</w:t>
            </w:r>
            <w:r>
              <w:rPr>
                <w:sz w:val="20"/>
              </w:rPr>
              <w:t xml:space="preserve"> Sudden severe chest pain and dyspnea  </w:t>
            </w:r>
            <w:r/>
          </w:p>
          <w:p>
            <w:pPr>
              <w:pBdr/>
              <w:spacing/>
              <w:ind w:right="5" w:left="2"/>
              <w:rPr/>
            </w:pPr>
            <w:r>
              <w:rPr>
                <w:sz w:val="20"/>
              </w:rPr>
              <w:t xml:space="preserve">Small pneumothoraxes reabsorb spontaneously.  Larger ones require the placement of a chest tube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ight="4"/>
              <w:rPr/>
            </w:pPr>
            <w:r>
              <w:rPr>
                <w:b/>
                <w:sz w:val="20"/>
              </w:rPr>
              <w:t xml:space="preserve">Radiographic considerations:</w:t>
            </w:r>
            <w:r>
              <w:rPr>
                <w:sz w:val="20"/>
              </w:rPr>
              <w:t xml:space="preserve"> Appears as a </w:t>
            </w:r>
            <w:r>
              <w:rPr>
                <w:sz w:val="20"/>
              </w:rPr>
              <w:t xml:space="preserve">hyperlucency</w:t>
            </w:r>
            <w:r>
              <w:rPr>
                <w:sz w:val="20"/>
              </w:rPr>
              <w:t xml:space="preserve"> with no lung markings.  It is important to examine the patient in an upright position when trying to demonstrate a pneumoth</w:t>
            </w:r>
            <w:r>
              <w:rPr>
                <w:sz w:val="20"/>
              </w:rPr>
              <w:t xml:space="preserve">orax.  Two PA chest images should be taken: one on inspiration and one on expiration.  The expiration view should be taken using a manual technique that is 1/3 of the inspiration view. Very small pneumothoraxes are best seen on a lateral decubitus view.   </w:t>
            </w:r>
            <w:r/>
          </w:p>
        </w:tc>
        <w:tc>
          <w:tcPr>
            <w:tcBorders>
              <w:top w:val="single" w:color="000000" w:sz="4" w:space="0"/>
              <w:left w:val="single" w:color="000000" w:sz="4" w:space="0"/>
              <w:bottom w:val="single" w:color="000000" w:sz="4" w:space="0"/>
              <w:right w:val="single" w:color="auto" w:sz="4" w:space="0"/>
            </w:tcBorders>
            <w:tcW w:w="2687" w:type="dxa"/>
            <w:textDirection w:val="lrTb"/>
            <w:noWrap w:val="false"/>
          </w:tcPr>
          <w:p>
            <w:pPr>
              <w:pBdr/>
              <w:spacing/>
              <w:ind w:left="2"/>
              <w:rPr/>
            </w:pPr>
            <w:r>
              <w:rPr>
                <w:sz w:val="20"/>
              </w:rPr>
              <w:t xml:space="preserve">Fig. 12-80,81 </w:t>
            </w:r>
            <w:r/>
          </w:p>
        </w:tc>
      </w:tr>
    </w:tbl>
    <w:p>
      <w:pPr>
        <w:pBdr/>
        <w:spacing w:after="0"/>
        <w:ind w:right="14400" w:left="-1440"/>
        <w:rPr/>
      </w:pPr>
      <w:r>
        <w:br w:type="page" w:clear="all"/>
      </w:r>
      <w:r/>
    </w:p>
    <w:tbl>
      <w:tblPr>
        <w:tblStyle w:val="664"/>
        <w:tblpPr w:horzAnchor="page" w:tblpX="571" w:vertAnchor="page" w:tblpY="725" w:leftFromText="0" w:topFromText="0" w:rightFromText="0" w:bottomFromText="0"/>
        <w:tblOverlap w:val="never"/>
        <w:tblW w:w="14596" w:type="dxa"/>
        <w:tblInd w:w="0" w:type="dxa"/>
        <w:tblBorders/>
        <w:tblCellMar>
          <w:left w:w="48" w:type="dxa"/>
          <w:top w:w="45" w:type="dxa"/>
          <w:right w:w="80" w:type="dxa"/>
        </w:tblCellMar>
        <w:tblLook w:val="04A0" w:firstRow="1" w:lastRow="0" w:firstColumn="1" w:lastColumn="0" w:noHBand="0" w:noVBand="1"/>
      </w:tblPr>
      <w:tblGrid>
        <w:gridCol w:w="2000"/>
        <w:gridCol w:w="3104"/>
        <w:gridCol w:w="3404"/>
        <w:gridCol w:w="3401"/>
        <w:gridCol w:w="2687"/>
      </w:tblGrid>
      <w:tr>
        <w:trPr>
          <w:trHeight w:val="2880"/>
        </w:trPr>
        <w:tc>
          <w:tcPr>
            <w:tcBorders>
              <w:top w:val="single" w:color="000000" w:sz="4" w:space="0"/>
              <w:left w:val="single" w:color="000000" w:sz="4" w:space="0"/>
              <w:bottom w:val="single" w:color="000000" w:sz="4" w:space="0"/>
              <w:right w:val="single" w:color="000000" w:sz="4" w:space="0"/>
            </w:tcBorders>
            <w:tcW w:w="2000" w:type="dxa"/>
            <w:textDirection w:val="lrTb"/>
            <w:noWrap w:val="false"/>
          </w:tcPr>
          <w:p>
            <w:pPr>
              <w:pBdr/>
              <w:spacing/>
              <w:ind w:left="60"/>
              <w:rPr/>
            </w:pPr>
            <w:r>
              <w:rPr>
                <w:b/>
                <w:sz w:val="20"/>
              </w:rPr>
              <w:t xml:space="preserve">Tension pneumothorax </w:t>
            </w:r>
            <w:r/>
          </w:p>
        </w:tc>
        <w:tc>
          <w:tcPr>
            <w:tcBorders>
              <w:top w:val="single" w:color="000000" w:sz="4" w:space="0"/>
              <w:left w:val="single" w:color="000000" w:sz="4" w:space="0"/>
              <w:bottom w:val="single" w:color="000000" w:sz="4" w:space="0"/>
              <w:right w:val="single" w:color="000000" w:sz="4" w:space="0"/>
            </w:tcBorders>
            <w:tcW w:w="3104" w:type="dxa"/>
            <w:textDirection w:val="lrTb"/>
            <w:noWrap w:val="false"/>
          </w:tcPr>
          <w:p>
            <w:pPr>
              <w:pBdr/>
              <w:spacing/>
              <w:ind w:right="13" w:left="60"/>
              <w:rPr/>
            </w:pPr>
            <w:r>
              <w:rPr>
                <w:b/>
                <w:sz w:val="20"/>
              </w:rPr>
              <w:t xml:space="preserve">What is it?</w:t>
            </w:r>
            <w:r>
              <w:rPr>
                <w:sz w:val="20"/>
              </w:rPr>
              <w:t xml:space="preserve"> A medical emergency where air is continually entering the pleural space, but</w:t>
            </w:r>
            <w:r>
              <w:rPr>
                <w:sz w:val="20"/>
              </w:rPr>
              <w:t xml:space="preserve"> cannot escape because the mechanism of injury has caused a “one way valve” to form.   </w:t>
            </w:r>
            <w:r/>
          </w:p>
        </w:tc>
        <w:tc>
          <w:tcPr>
            <w:tcBorders>
              <w:top w:val="single" w:color="000000" w:sz="4" w:space="0"/>
              <w:left w:val="single" w:color="000000" w:sz="4" w:space="0"/>
              <w:bottom w:val="single" w:color="000000" w:sz="4" w:space="0"/>
              <w:right w:val="single" w:color="000000" w:sz="4" w:space="0"/>
            </w:tcBorders>
            <w:tcW w:w="3404" w:type="dxa"/>
            <w:textDirection w:val="lrTb"/>
            <w:noWrap w:val="false"/>
          </w:tcPr>
          <w:p>
            <w:pPr>
              <w:pBdr/>
              <w:spacing w:after="245" w:line="241" w:lineRule="auto"/>
              <w:ind w:right="107" w:left="62"/>
              <w:jc w:val="both"/>
              <w:rPr/>
            </w:pPr>
            <w:r>
              <w:rPr>
                <w:b/>
                <w:sz w:val="20"/>
              </w:rPr>
              <w:t xml:space="preserve">Symptoms/Complications: </w:t>
            </w:r>
            <w:r>
              <w:rPr>
                <w:sz w:val="20"/>
              </w:rPr>
              <w:t xml:space="preserve"> Leads to a complete collapse of ipsilateral lung, depression of hemidiaphragm, and displacement of heart and mediastinum.  Increased intrathoracic pressure decreases venous return to the heart, and if not treated promptly will result in death. </w:t>
            </w:r>
            <w:r/>
          </w:p>
          <w:p>
            <w:pPr>
              <w:pBdr/>
              <w:spacing/>
              <w:ind w:left="62"/>
              <w:rPr/>
            </w:pPr>
            <w:r>
              <w:rPr>
                <w:sz w:val="20"/>
              </w:rPr>
              <w:t xml:space="preserve">A  needle may be inserted into chest wall to equalize air pressure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left="60"/>
              <w:rPr/>
            </w:pPr>
            <w:r>
              <w:rPr>
                <w:b/>
                <w:sz w:val="20"/>
              </w:rPr>
              <w:t xml:space="preserve">Radiographic considerations:</w:t>
            </w:r>
            <w:r>
              <w:rPr>
                <w:sz w:val="20"/>
              </w:rPr>
              <w:t xml:space="preserve"> </w:t>
            </w:r>
            <w:r/>
          </w:p>
          <w:p>
            <w:pPr>
              <w:pBdr/>
              <w:spacing/>
              <w:ind w:left="60"/>
              <w:rPr/>
            </w:pPr>
            <w:r>
              <w:rPr>
                <w:sz w:val="20"/>
              </w:rPr>
              <w:t xml:space="preserve">Demonstrated by collapse of ipsilateral lung, depression of hemidiaphragm, and displacement of heart and mediastinum.  </w:t>
            </w:r>
            <w:r/>
          </w:p>
        </w:tc>
        <w:tc>
          <w:tcPr>
            <w:tcBorders>
              <w:top w:val="single" w:color="000000" w:sz="4" w:space="0"/>
              <w:left w:val="single" w:color="000000" w:sz="4" w:space="0"/>
              <w:bottom w:val="single" w:color="000000" w:sz="4" w:space="0"/>
              <w:right w:val="single" w:color="auto" w:sz="4" w:space="0"/>
            </w:tcBorders>
            <w:tcW w:w="2687" w:type="dxa"/>
            <w:textDirection w:val="lrTb"/>
            <w:noWrap w:val="false"/>
          </w:tcPr>
          <w:p>
            <w:pPr>
              <w:pBdr/>
              <w:spacing/>
              <w:ind w:left="62"/>
              <w:rPr/>
            </w:pPr>
            <w:r>
              <w:rPr>
                <w:b/>
                <w:sz w:val="20"/>
              </w:rPr>
              <w:t xml:space="preserve">Eisenberg Fig. 3-86 </w:t>
            </w:r>
            <w:r/>
          </w:p>
        </w:tc>
      </w:tr>
      <w:tr>
        <w:trPr>
          <w:trHeight w:val="1297"/>
        </w:trPr>
        <w:tc>
          <w:tcPr>
            <w:tcBorders>
              <w:top w:val="single" w:color="000000" w:sz="4" w:space="0"/>
              <w:left w:val="single" w:color="000000" w:sz="4" w:space="0"/>
              <w:bottom w:val="single" w:color="000000" w:sz="4" w:space="0"/>
              <w:right w:val="single" w:color="000000" w:sz="4" w:space="0"/>
            </w:tcBorders>
            <w:tcW w:w="2000" w:type="dxa"/>
            <w:textDirection w:val="lrTb"/>
            <w:noWrap w:val="false"/>
          </w:tcPr>
          <w:p>
            <w:pPr>
              <w:pBdr/>
              <w:spacing/>
              <w:ind w:left="60"/>
              <w:rPr/>
            </w:pPr>
            <w:r>
              <w:rPr>
                <w:b/>
                <w:sz w:val="20"/>
              </w:rPr>
              <w:t xml:space="preserve">Empyema </w:t>
            </w:r>
            <w:r/>
          </w:p>
        </w:tc>
        <w:tc>
          <w:tcPr>
            <w:tcBorders>
              <w:top w:val="single" w:color="000000" w:sz="4" w:space="0"/>
              <w:left w:val="single" w:color="000000" w:sz="4" w:space="0"/>
              <w:bottom w:val="single" w:color="000000" w:sz="4" w:space="0"/>
              <w:right w:val="single" w:color="000000" w:sz="4" w:space="0"/>
            </w:tcBorders>
            <w:tcW w:w="3104" w:type="dxa"/>
            <w:textDirection w:val="lrTb"/>
            <w:noWrap w:val="false"/>
          </w:tcPr>
          <w:p>
            <w:pPr>
              <w:pBdr/>
              <w:spacing/>
              <w:ind w:right="29" w:left="60"/>
              <w:rPr/>
            </w:pPr>
            <w:r>
              <w:rPr>
                <w:b/>
                <w:sz w:val="20"/>
              </w:rPr>
              <w:t xml:space="preserve">What is it?  </w:t>
            </w:r>
            <w:r>
              <w:rPr>
                <w:sz w:val="20"/>
              </w:rPr>
              <w:t xml:space="preserve">Infected liquid or pus in the pleural space that has spread from an adjacent </w:t>
            </w:r>
            <w:r>
              <w:rPr>
                <w:sz w:val="20"/>
              </w:rPr>
              <w:t xml:space="preserve">infection.</w:t>
            </w:r>
            <w:r>
              <w:rPr>
                <w:b/>
                <w:sz w:val="20"/>
              </w:rPr>
              <w:t xml:space="preserve"> </w:t>
            </w:r>
            <w:r/>
          </w:p>
        </w:tc>
        <w:tc>
          <w:tcPr>
            <w:tcBorders>
              <w:top w:val="single" w:color="000000" w:sz="4" w:space="0"/>
              <w:left w:val="single" w:color="000000" w:sz="4" w:space="0"/>
              <w:bottom w:val="single" w:color="000000" w:sz="4" w:space="0"/>
              <w:right w:val="single" w:color="000000" w:sz="4" w:space="0"/>
            </w:tcBorders>
            <w:tcW w:w="3404" w:type="dxa"/>
            <w:textDirection w:val="lrTb"/>
            <w:noWrap w:val="false"/>
          </w:tcPr>
          <w:p>
            <w:pPr>
              <w:pBdr/>
              <w:spacing/>
              <w:ind w:left="62"/>
              <w:rPr/>
            </w:pPr>
            <w:r>
              <w:rPr>
                <w:b/>
                <w:sz w:val="20"/>
              </w:rPr>
              <w:t xml:space="preserve">Symptoms/complications: </w:t>
            </w:r>
            <w:r>
              <w:rPr>
                <w:sz w:val="20"/>
              </w:rPr>
              <w:t xml:space="preserve">If the empyema is near the chest wall it may be drained under fluoroscopic guidance</w:t>
            </w:r>
            <w:r>
              <w:rPr>
                <w:b/>
                <w:sz w:val="20"/>
              </w:rPr>
              <w:t xml:space="preserve">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line="242" w:lineRule="auto"/>
              <w:ind w:left="60"/>
              <w:rPr/>
            </w:pPr>
            <w:r>
              <w:rPr>
                <w:b/>
                <w:sz w:val="20"/>
              </w:rPr>
              <w:t xml:space="preserve">Radiographic considerations: </w:t>
            </w:r>
            <w:r>
              <w:rPr>
                <w:sz w:val="20"/>
              </w:rPr>
              <w:t xml:space="preserve">initially looks like a pleural effusion but over time it will become loculated and will </w:t>
            </w:r>
            <w:r/>
          </w:p>
          <w:p>
            <w:pPr>
              <w:pBdr/>
              <w:spacing/>
              <w:ind w:left="60"/>
              <w:rPr/>
            </w:pPr>
            <w:r>
              <w:rPr>
                <w:sz w:val="20"/>
              </w:rPr>
              <w:t xml:space="preserve">appear as a mass</w:t>
            </w:r>
            <w:r>
              <w:rPr>
                <w:b/>
                <w:sz w:val="20"/>
              </w:rPr>
              <w:t xml:space="preserve"> </w:t>
            </w:r>
            <w:r/>
          </w:p>
        </w:tc>
        <w:tc>
          <w:tcPr>
            <w:tcBorders>
              <w:top w:val="single" w:color="000000" w:sz="4" w:space="0"/>
              <w:left w:val="single" w:color="000000" w:sz="4" w:space="0"/>
              <w:bottom w:val="single" w:color="000000" w:sz="4" w:space="0"/>
              <w:right w:val="single" w:color="auto" w:sz="4" w:space="0"/>
            </w:tcBorders>
            <w:tcW w:w="2687" w:type="dxa"/>
            <w:textDirection w:val="lrTb"/>
            <w:noWrap w:val="false"/>
          </w:tcPr>
          <w:p>
            <w:pPr>
              <w:pBdr/>
              <w:spacing/>
              <w:ind w:left="62"/>
              <w:rPr/>
            </w:pPr>
            <w:r>
              <w:rPr>
                <w:b/>
                <w:sz w:val="20"/>
              </w:rPr>
              <w:t xml:space="preserve">No significant image </w:t>
            </w:r>
            <w:r/>
          </w:p>
        </w:tc>
      </w:tr>
      <w:tr>
        <w:trPr>
          <w:trHeight w:val="2304"/>
        </w:trPr>
        <w:tc>
          <w:tcPr>
            <w:tcBorders>
              <w:top w:val="single" w:color="000000" w:sz="4" w:space="0"/>
              <w:left w:val="single" w:color="000000" w:sz="4" w:space="0"/>
              <w:bottom w:val="single" w:color="000000" w:sz="4" w:space="0"/>
              <w:right w:val="single" w:color="000000" w:sz="4" w:space="0"/>
            </w:tcBorders>
            <w:tcW w:w="2000" w:type="dxa"/>
            <w:textDirection w:val="lrTb"/>
            <w:noWrap w:val="false"/>
          </w:tcPr>
          <w:p>
            <w:pPr>
              <w:pBdr/>
              <w:spacing/>
              <w:ind w:left="60"/>
              <w:rPr/>
            </w:pPr>
            <w:r>
              <w:rPr>
                <w:b/>
                <w:sz w:val="20"/>
              </w:rPr>
              <w:t xml:space="preserve">Lung Abscess </w:t>
            </w:r>
            <w:r/>
          </w:p>
        </w:tc>
        <w:tc>
          <w:tcPr>
            <w:tcBorders>
              <w:top w:val="single" w:color="000000" w:sz="4" w:space="0"/>
              <w:left w:val="single" w:color="000000" w:sz="4" w:space="0"/>
              <w:bottom w:val="single" w:color="000000" w:sz="4" w:space="0"/>
              <w:right w:val="single" w:color="000000" w:sz="4" w:space="0"/>
            </w:tcBorders>
            <w:tcW w:w="3104" w:type="dxa"/>
            <w:textDirection w:val="lrTb"/>
            <w:noWrap w:val="false"/>
          </w:tcPr>
          <w:p>
            <w:pPr>
              <w:pBdr/>
              <w:spacing/>
              <w:ind w:left="60"/>
              <w:rPr/>
            </w:pPr>
            <w:r>
              <w:rPr>
                <w:b/>
                <w:sz w:val="20"/>
              </w:rPr>
              <w:t xml:space="preserve">What is it? </w:t>
            </w:r>
            <w:r>
              <w:rPr>
                <w:sz w:val="20"/>
              </w:rPr>
              <w:t xml:space="preserve"> Necrotic lung parenchyma encased by a fibrous wall and containing pus-like debris and fluid. Most commonly caused by aspiration, but may occur secondary to bacterial pneumonia, neoplasms, periodontal disease, or other invading organisms of the lung. </w:t>
            </w:r>
            <w:r/>
          </w:p>
        </w:tc>
        <w:tc>
          <w:tcPr>
            <w:tcBorders>
              <w:top w:val="single" w:color="000000" w:sz="4" w:space="0"/>
              <w:left w:val="single" w:color="000000" w:sz="4" w:space="0"/>
              <w:bottom w:val="single" w:color="000000" w:sz="4" w:space="0"/>
              <w:right w:val="single" w:color="000000" w:sz="4" w:space="0"/>
            </w:tcBorders>
            <w:tcW w:w="3404" w:type="dxa"/>
            <w:textDirection w:val="lrTb"/>
            <w:noWrap w:val="false"/>
          </w:tcPr>
          <w:p>
            <w:pPr>
              <w:pBdr/>
              <w:spacing/>
              <w:ind/>
              <w:rPr/>
            </w:pPr>
            <w:r>
              <w:rPr>
                <w:b/>
                <w:sz w:val="20"/>
              </w:rPr>
              <w:t xml:space="preserve">Complications:</w:t>
            </w:r>
            <w:r>
              <w:rPr>
                <w:sz w:val="20"/>
              </w:rPr>
              <w:t xml:space="preserve"> May spread </w:t>
            </w:r>
            <w:r>
              <w:rPr>
                <w:sz w:val="20"/>
              </w:rPr>
              <w:t xml:space="preserve">hematogenically</w:t>
            </w:r>
            <w:r>
              <w:rPr>
                <w:sz w:val="20"/>
              </w:rPr>
              <w:t xml:space="preserve">: brain abscess is a common complication of lung abscess.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left="14"/>
              <w:rPr/>
            </w:pPr>
            <w:r>
              <w:rPr>
                <w:b/>
                <w:sz w:val="20"/>
              </w:rPr>
              <w:t xml:space="preserve">Radiographic considerations:</w:t>
            </w:r>
            <w:r>
              <w:rPr>
                <w:sz w:val="20"/>
              </w:rPr>
              <w:t xml:space="preserve"> Spherical density with a hazy border. </w:t>
            </w:r>
            <w:r/>
          </w:p>
        </w:tc>
        <w:tc>
          <w:tcPr>
            <w:tcBorders>
              <w:top w:val="single" w:color="000000" w:sz="4" w:space="0"/>
              <w:left w:val="single" w:color="000000" w:sz="4" w:space="0"/>
              <w:bottom w:val="single" w:color="000000" w:sz="4" w:space="0"/>
              <w:right w:val="single" w:color="auto" w:sz="4" w:space="0"/>
            </w:tcBorders>
            <w:tcW w:w="2687" w:type="dxa"/>
            <w:textDirection w:val="lrTb"/>
            <w:noWrap w:val="false"/>
          </w:tcPr>
          <w:p>
            <w:pPr>
              <w:pBdr/>
              <w:spacing/>
              <w:ind w:left="62"/>
              <w:rPr/>
            </w:pPr>
            <w:r>
              <w:rPr>
                <w:b/>
                <w:sz w:val="20"/>
              </w:rPr>
              <w:t xml:space="preserve">No significant image </w:t>
            </w:r>
            <w:r/>
          </w:p>
        </w:tc>
      </w:tr>
      <w:tr>
        <w:trPr>
          <w:trHeight w:val="3025"/>
        </w:trPr>
        <w:tc>
          <w:tcPr>
            <w:tcBorders>
              <w:top w:val="single" w:color="000000" w:sz="4" w:space="0"/>
              <w:left w:val="single" w:color="000000" w:sz="4" w:space="0"/>
              <w:bottom w:val="single" w:color="000000" w:sz="4" w:space="0"/>
              <w:right w:val="single" w:color="000000" w:sz="4" w:space="0"/>
            </w:tcBorders>
            <w:tcW w:w="2000" w:type="dxa"/>
            <w:textDirection w:val="lrTb"/>
            <w:noWrap w:val="false"/>
          </w:tcPr>
          <w:p>
            <w:pPr>
              <w:pBdr/>
              <w:spacing/>
              <w:ind w:left="60"/>
              <w:rPr/>
            </w:pPr>
            <w:r>
              <w:rPr>
                <w:b/>
                <w:sz w:val="20"/>
              </w:rPr>
              <w:t xml:space="preserve">Atelectasis </w:t>
            </w:r>
            <w:r/>
          </w:p>
        </w:tc>
        <w:tc>
          <w:tcPr>
            <w:tcBorders>
              <w:top w:val="single" w:color="000000" w:sz="4" w:space="0"/>
              <w:left w:val="single" w:color="000000" w:sz="4" w:space="0"/>
              <w:bottom w:val="single" w:color="000000" w:sz="4" w:space="0"/>
              <w:right w:val="single" w:color="000000" w:sz="4" w:space="0"/>
            </w:tcBorders>
            <w:tcW w:w="3104" w:type="dxa"/>
            <w:textDirection w:val="lrTb"/>
            <w:noWrap w:val="false"/>
          </w:tcPr>
          <w:p>
            <w:pPr>
              <w:pBdr/>
              <w:spacing/>
              <w:ind w:right="27" w:left="60"/>
              <w:rPr/>
            </w:pPr>
            <w:r>
              <w:rPr>
                <w:b/>
                <w:sz w:val="20"/>
              </w:rPr>
              <w:t xml:space="preserve">What is it?  </w:t>
            </w:r>
            <w:r>
              <w:rPr>
                <w:sz w:val="20"/>
              </w:rPr>
              <w:t xml:space="preserve">Reduction or absence of air in </w:t>
            </w:r>
            <w:r>
              <w:rPr>
                <w:sz w:val="20"/>
              </w:rPr>
              <w:t xml:space="preserve">some portion of the lung,  that reduces lung volume.  Most commonly caused by bronchial obstruction from neoplasm, foreign body, or mucous plug, but can also be caused by pneumothorax, tumors, abscess, or placement of an endotracheal tube below the carina.</w:t>
            </w:r>
            <w:r>
              <w:rPr>
                <w:b/>
                <w:sz w:val="20"/>
              </w:rPr>
              <w:t xml:space="preserve"> </w:t>
            </w:r>
            <w:r/>
          </w:p>
        </w:tc>
        <w:tc>
          <w:tcPr>
            <w:tcBorders>
              <w:top w:val="single" w:color="000000" w:sz="4" w:space="0"/>
              <w:left w:val="single" w:color="000000" w:sz="4" w:space="0"/>
              <w:bottom w:val="single" w:color="000000" w:sz="4" w:space="0"/>
              <w:right w:val="single" w:color="000000" w:sz="4" w:space="0"/>
            </w:tcBorders>
            <w:tcW w:w="3404" w:type="dxa"/>
            <w:textDirection w:val="lrTb"/>
            <w:noWrap w:val="false"/>
          </w:tcPr>
          <w:p>
            <w:pPr>
              <w:pBdr/>
              <w:spacing w:after="243" w:line="241" w:lineRule="auto"/>
              <w:ind w:left="62"/>
              <w:rPr/>
            </w:pPr>
            <w:r>
              <w:rPr>
                <w:b/>
                <w:sz w:val="20"/>
              </w:rPr>
              <w:t xml:space="preserve">Symptoms/complications: </w:t>
            </w:r>
            <w:r>
              <w:rPr>
                <w:sz w:val="20"/>
              </w:rPr>
              <w:t xml:space="preserve">Mucosal plug may be caused by bronchitis, but</w:t>
            </w:r>
            <w:r>
              <w:rPr>
                <w:sz w:val="20"/>
              </w:rPr>
              <w:t xml:space="preserve"> is often caused by abdominal surgery: mucous collects in bronchial tubes b/c of irritation after anesthesia, and the surgical wound makes it too painful to clear the build-up by coughing.  </w:t>
            </w:r>
            <w:r/>
          </w:p>
          <w:p>
            <w:pPr>
              <w:pBdr/>
              <w:spacing/>
              <w:ind w:left="62"/>
              <w:rPr/>
            </w:pPr>
            <w:r>
              <w:rPr>
                <w:sz w:val="20"/>
              </w:rPr>
              <w:t xml:space="preserve">Treatment involves removal of secretions and re-inflation of the lung through gravitational positioning or use of positive pressure spirometry</w:t>
            </w:r>
            <w:r>
              <w:rPr>
                <w:b/>
                <w:sz w:val="20"/>
              </w:rPr>
              <w:t xml:space="preserve">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left="60"/>
              <w:rPr/>
            </w:pPr>
            <w:r>
              <w:rPr>
                <w:b/>
                <w:sz w:val="20"/>
              </w:rPr>
              <w:t xml:space="preserve">Radiographic considerations:  </w:t>
            </w:r>
            <w:r>
              <w:rPr>
                <w:sz w:val="20"/>
              </w:rPr>
              <w:t xml:space="preserve">an area of increased density in the lungs, varying from a “plate-like” streak to a collapsed lobe with associated displacement of interlobar fissures</w:t>
            </w:r>
            <w:r>
              <w:rPr>
                <w:b/>
                <w:sz w:val="20"/>
              </w:rPr>
              <w:t xml:space="preserve"> </w:t>
            </w:r>
            <w:r/>
          </w:p>
        </w:tc>
        <w:tc>
          <w:tcPr>
            <w:tcBorders>
              <w:top w:val="single" w:color="000000" w:sz="4" w:space="0"/>
              <w:left w:val="single" w:color="000000" w:sz="4" w:space="0"/>
              <w:bottom w:val="single" w:color="000000" w:sz="4" w:space="0"/>
              <w:right w:val="single" w:color="auto" w:sz="4" w:space="0"/>
            </w:tcBorders>
            <w:tcW w:w="2687" w:type="dxa"/>
            <w:textDirection w:val="lrTb"/>
            <w:noWrap w:val="false"/>
          </w:tcPr>
          <w:p>
            <w:pPr>
              <w:pBdr/>
              <w:spacing/>
              <w:ind w:left="62"/>
              <w:rPr/>
            </w:pPr>
            <w:r>
              <w:rPr>
                <w:b/>
                <w:sz w:val="20"/>
              </w:rPr>
              <w:t xml:space="preserve">Eisenberg Fig. 3-76 thru 3-78 </w:t>
            </w:r>
            <w:r/>
          </w:p>
        </w:tc>
      </w:tr>
    </w:tbl>
    <w:p>
      <w:pPr>
        <w:pBdr/>
        <w:spacing w:after="0"/>
        <w:ind w:right="14400" w:left="-1440"/>
        <w:rPr/>
      </w:pPr>
      <w:r>
        <w:br w:type="page" w:clear="all"/>
      </w:r>
      <w:r/>
    </w:p>
    <w:tbl>
      <w:tblPr>
        <w:tblStyle w:val="664"/>
        <w:tblpPr w:horzAnchor="page" w:tblpX="571" w:vertAnchor="page" w:tblpY="725" w:leftFromText="0" w:topFromText="0" w:rightFromText="0" w:bottomFromText="0"/>
        <w:tblOverlap w:val="never"/>
        <w:tblW w:w="14312" w:type="dxa"/>
        <w:tblInd w:w="0" w:type="dxa"/>
        <w:tblBorders/>
        <w:tblCellMar>
          <w:left w:w="108" w:type="dxa"/>
          <w:top w:w="45" w:type="dxa"/>
          <w:right w:w="73" w:type="dxa"/>
        </w:tblCellMar>
        <w:tblLook w:val="04A0" w:firstRow="1" w:lastRow="0" w:firstColumn="1" w:lastColumn="0" w:noHBand="0" w:noVBand="1"/>
      </w:tblPr>
      <w:tblGrid>
        <w:gridCol w:w="2091"/>
        <w:gridCol w:w="3086"/>
        <w:gridCol w:w="3392"/>
        <w:gridCol w:w="3376"/>
        <w:gridCol w:w="2367"/>
      </w:tblGrid>
      <w:tr>
        <w:trPr>
          <w:trHeight w:val="3168"/>
        </w:trPr>
        <w:tc>
          <w:tcPr>
            <w:tcBorders>
              <w:top w:val="single" w:color="000000" w:sz="4" w:space="0"/>
              <w:left w:val="single" w:color="000000" w:sz="4" w:space="0"/>
              <w:bottom w:val="single" w:color="000000" w:sz="4" w:space="0"/>
              <w:right w:val="single" w:color="000000" w:sz="4" w:space="0"/>
            </w:tcBorders>
            <w:tcW w:w="2091" w:type="dxa"/>
            <w:textDirection w:val="lrTb"/>
            <w:noWrap w:val="false"/>
          </w:tcPr>
          <w:p>
            <w:pPr>
              <w:pBdr/>
              <w:spacing/>
              <w:ind/>
              <w:rPr/>
            </w:pPr>
            <w:r>
              <w:rPr>
                <w:b/>
                <w:sz w:val="20"/>
              </w:rPr>
              <w:t xml:space="preserve">Adult Respiratory </w:t>
            </w:r>
            <w:r/>
          </w:p>
          <w:p>
            <w:pPr>
              <w:pBdr/>
              <w:spacing/>
              <w:ind/>
              <w:rPr/>
            </w:pPr>
            <w:r>
              <w:rPr>
                <w:b/>
                <w:sz w:val="20"/>
              </w:rPr>
              <w:t xml:space="preserve">Distress Syndrome </w:t>
            </w:r>
            <w:r/>
          </w:p>
          <w:p>
            <w:pPr>
              <w:pBdr/>
              <w:spacing/>
              <w:ind/>
              <w:rPr/>
            </w:pPr>
            <w:r>
              <w:rPr>
                <w:b/>
                <w:sz w:val="20"/>
              </w:rPr>
              <w:t xml:space="preserve">(ARDS) </w:t>
            </w:r>
            <w:r/>
          </w:p>
        </w:tc>
        <w:tc>
          <w:tcPr>
            <w:tcBorders>
              <w:top w:val="single" w:color="000000" w:sz="4" w:space="0"/>
              <w:left w:val="single" w:color="000000" w:sz="4" w:space="0"/>
              <w:bottom w:val="single" w:color="000000" w:sz="4" w:space="0"/>
              <w:right w:val="single" w:color="000000" w:sz="4" w:space="0"/>
            </w:tcBorders>
            <w:tcW w:w="3086" w:type="dxa"/>
            <w:textDirection w:val="lrTb"/>
            <w:noWrap w:val="false"/>
          </w:tcPr>
          <w:p>
            <w:pPr>
              <w:pBdr/>
              <w:spacing/>
              <w:ind/>
              <w:rPr/>
            </w:pPr>
            <w:r>
              <w:rPr>
                <w:b/>
                <w:sz w:val="20"/>
              </w:rPr>
              <w:t xml:space="preserve">What is it</w:t>
            </w:r>
            <w:r>
              <w:rPr>
                <w:sz w:val="20"/>
              </w:rPr>
              <w:t xml:space="preserve">? Severe, unexpected, and life-threatening acute respiratory distress that is caused by any numb</w:t>
            </w:r>
            <w:r>
              <w:rPr>
                <w:sz w:val="20"/>
              </w:rPr>
              <w:t xml:space="preserve">er of medical and surgical issues but is unrelated to actual lung disease.  Because is often occurs in patients with no thoracic trauma it is sometimes called “shock lung”.  Some causes include infection, aspiration, inhalation of toxins or drug overdose. </w:t>
            </w:r>
            <w:r>
              <w:rPr>
                <w:b/>
                <w:sz w:val="20"/>
              </w:rPr>
              <w:t xml:space="preserve"> </w:t>
            </w:r>
            <w:r/>
          </w:p>
        </w:tc>
        <w:tc>
          <w:tcPr>
            <w:tcBorders>
              <w:top w:val="single" w:color="000000" w:sz="4" w:space="0"/>
              <w:left w:val="single" w:color="000000" w:sz="4" w:space="0"/>
              <w:bottom w:val="single" w:color="000000" w:sz="4" w:space="0"/>
              <w:right w:val="single" w:color="000000" w:sz="4" w:space="0"/>
            </w:tcBorders>
            <w:tcW w:w="3392" w:type="dxa"/>
            <w:textDirection w:val="lrTb"/>
            <w:noWrap w:val="false"/>
          </w:tcPr>
          <w:p>
            <w:pPr>
              <w:pBdr/>
              <w:spacing w:after="245" w:line="241" w:lineRule="auto"/>
              <w:ind w:right="101" w:left="2"/>
              <w:jc w:val="both"/>
              <w:rPr/>
            </w:pPr>
            <w:r>
              <w:rPr>
                <w:b/>
                <w:sz w:val="20"/>
              </w:rPr>
              <w:t xml:space="preserve">Symptoms/complications:  </w:t>
            </w:r>
            <w:r>
              <w:rPr>
                <w:sz w:val="20"/>
              </w:rPr>
              <w:t xml:space="preserve">Complete breakdown in lung structure accompanied by severe hypoxemia, pulmonary edema and leakage of fluid into the alveolar sacs.  </w:t>
            </w:r>
            <w:r/>
          </w:p>
          <w:p>
            <w:pPr>
              <w:pBdr/>
              <w:spacing/>
              <w:ind w:left="2"/>
              <w:rPr/>
            </w:pPr>
            <w:r>
              <w:rPr>
                <w:sz w:val="20"/>
              </w:rPr>
              <w:t xml:space="preserve">Treated with diuretics, oxygen therapy and ventilation.   </w:t>
            </w:r>
            <w:r/>
          </w:p>
        </w:tc>
        <w:tc>
          <w:tcPr>
            <w:tcBorders>
              <w:top w:val="single" w:color="000000" w:sz="4" w:space="0"/>
              <w:left w:val="single" w:color="000000" w:sz="4" w:space="0"/>
              <w:bottom w:val="single" w:color="000000" w:sz="4" w:space="0"/>
              <w:right w:val="single" w:color="000000" w:sz="4" w:space="0"/>
            </w:tcBorders>
            <w:tcW w:w="3376" w:type="dxa"/>
            <w:textDirection w:val="lrTb"/>
            <w:noWrap w:val="false"/>
          </w:tcPr>
          <w:p>
            <w:pPr>
              <w:pBdr/>
              <w:spacing/>
              <w:ind w:right="1"/>
              <w:rPr/>
            </w:pPr>
            <w:r>
              <w:rPr>
                <w:b/>
                <w:sz w:val="20"/>
              </w:rPr>
              <w:t xml:space="preserve">Radiographic considerations: </w:t>
            </w:r>
            <w:r>
              <w:rPr>
                <w:sz w:val="20"/>
              </w:rPr>
              <w:t xml:space="preserve">Similar to pulmonary edema caused by CHF but heart size remains normal</w:t>
            </w:r>
            <w:r>
              <w:rPr>
                <w:b/>
                <w:sz w:val="20"/>
              </w:rPr>
              <w:t xml:space="preserve"> </w:t>
            </w:r>
            <w:r/>
          </w:p>
        </w:tc>
        <w:tc>
          <w:tcPr>
            <w:tcBorders>
              <w:top w:val="single" w:color="000000" w:sz="4" w:space="0"/>
              <w:left w:val="single" w:color="000000" w:sz="4" w:space="0"/>
              <w:bottom w:val="single" w:color="000000" w:sz="4" w:space="0"/>
              <w:right w:val="single" w:color="auto" w:sz="4" w:space="0"/>
            </w:tcBorders>
            <w:tcW w:w="2367" w:type="dxa"/>
            <w:textDirection w:val="lrTb"/>
            <w:noWrap w:val="false"/>
          </w:tcPr>
          <w:p>
            <w:pPr>
              <w:pBdr/>
              <w:spacing/>
              <w:ind w:left="2"/>
              <w:rPr/>
            </w:pPr>
            <w:r>
              <w:rPr>
                <w:b/>
                <w:sz w:val="20"/>
              </w:rPr>
              <w:t xml:space="preserve">Eisenberg fig. 3- 79 </w:t>
            </w:r>
            <w:r/>
          </w:p>
        </w:tc>
      </w:tr>
      <w:tr>
        <w:trPr>
          <w:trHeight w:val="4412"/>
        </w:trPr>
        <w:tc>
          <w:tcPr>
            <w:tcBorders>
              <w:top w:val="single" w:color="000000" w:sz="4" w:space="0"/>
              <w:left w:val="single" w:color="000000" w:sz="4" w:space="0"/>
              <w:bottom w:val="single" w:color="000000" w:sz="4" w:space="0"/>
              <w:right w:val="single" w:color="000000" w:sz="4" w:space="0"/>
            </w:tcBorders>
            <w:tcW w:w="2091" w:type="dxa"/>
            <w:textDirection w:val="lrTb"/>
            <w:noWrap w:val="false"/>
          </w:tcPr>
          <w:p>
            <w:pPr>
              <w:pBdr/>
              <w:spacing/>
              <w:ind/>
              <w:rPr/>
            </w:pPr>
            <w:r>
              <w:rPr>
                <w:b/>
                <w:sz w:val="20"/>
              </w:rPr>
              <w:t xml:space="preserve">Foreign Body </w:t>
            </w:r>
            <w:r/>
          </w:p>
        </w:tc>
        <w:tc>
          <w:tcPr>
            <w:tcBorders>
              <w:top w:val="single" w:color="000000" w:sz="4" w:space="0"/>
              <w:left w:val="single" w:color="000000" w:sz="4" w:space="0"/>
              <w:bottom w:val="single" w:color="000000" w:sz="4" w:space="0"/>
              <w:right w:val="single" w:color="000000" w:sz="4" w:space="0"/>
            </w:tcBorders>
            <w:tcW w:w="3086" w:type="dxa"/>
            <w:textDirection w:val="lrTb"/>
            <w:noWrap w:val="false"/>
          </w:tcPr>
          <w:p>
            <w:pPr>
              <w:pBdr/>
              <w:spacing/>
              <w:ind w:right="35"/>
              <w:rPr/>
            </w:pPr>
            <w:r>
              <w:rPr>
                <w:sz w:val="20"/>
              </w:rPr>
              <w:t xml:space="preserve">Aspiration of foreign bodies is most common in children.  Because most objects are radiolucent,  diagnosis is based on secondary signs in the lungs or bronchial tubes </w:t>
            </w:r>
            <w:r/>
          </w:p>
        </w:tc>
        <w:tc>
          <w:tcPr>
            <w:tcBorders>
              <w:top w:val="single" w:color="000000" w:sz="4" w:space="0"/>
              <w:left w:val="single" w:color="000000" w:sz="4" w:space="0"/>
              <w:bottom w:val="single" w:color="000000" w:sz="4" w:space="0"/>
              <w:right w:val="single" w:color="000000" w:sz="4" w:space="0"/>
            </w:tcBorders>
            <w:tcW w:w="3392" w:type="dxa"/>
            <w:textDirection w:val="lrTb"/>
            <w:noWrap w:val="false"/>
          </w:tcPr>
          <w:p>
            <w:pPr>
              <w:pBdr/>
              <w:spacing w:after="242" w:line="242" w:lineRule="auto"/>
              <w:ind w:right="262" w:left="2"/>
              <w:jc w:val="both"/>
              <w:rPr/>
            </w:pPr>
            <w:r>
              <w:rPr>
                <w:b/>
                <w:sz w:val="20"/>
              </w:rPr>
              <w:t xml:space="preserve">Symptoms/complications:  </w:t>
            </w:r>
            <w:r>
              <w:rPr>
                <w:sz w:val="20"/>
              </w:rPr>
              <w:t xml:space="preserve">Almost always involves the lower lobes, and the right lung more than the left.  </w:t>
            </w:r>
            <w:r/>
          </w:p>
          <w:p>
            <w:pPr>
              <w:pBdr/>
              <w:spacing w:after="246" w:line="241" w:lineRule="auto"/>
              <w:ind w:left="2"/>
              <w:rPr/>
            </w:pPr>
            <w:r>
              <w:rPr>
                <w:sz w:val="20"/>
                <w:u w:val="single"/>
              </w:rPr>
              <w:t xml:space="preserve">Obstruction</w:t>
            </w:r>
            <w:r>
              <w:rPr>
                <w:sz w:val="20"/>
              </w:rPr>
              <w:t xml:space="preserve"> of a major bronchus will cause resorption of trapped air, alveolar collapse, and atelectasis of affected portion of the lung. </w:t>
            </w:r>
            <w:r/>
          </w:p>
          <w:p>
            <w:pPr>
              <w:pBdr/>
              <w:spacing w:after="488" w:line="241" w:lineRule="auto"/>
              <w:ind w:left="2"/>
              <w:rPr/>
            </w:pPr>
            <w:r>
              <w:rPr>
                <w:sz w:val="20"/>
                <w:u w:val="single"/>
              </w:rPr>
              <w:t xml:space="preserve">Partial obstruction</w:t>
            </w:r>
            <w:r>
              <w:rPr>
                <w:sz w:val="20"/>
              </w:rPr>
              <w:t xml:space="preserve"> may cause air to become trapped due to “one-way valve” effect.   </w:t>
            </w:r>
            <w:r/>
          </w:p>
          <w:p>
            <w:pPr>
              <w:pBdr/>
              <w:spacing/>
              <w:ind w:left="2"/>
              <w:rPr/>
            </w:pPr>
            <w:r>
              <w:rPr>
                <w:sz w:val="20"/>
              </w:rPr>
              <w:t xml:space="preserve">Treatment options include expectoration, bronchoscopy and surgery </w:t>
            </w:r>
            <w:r/>
          </w:p>
        </w:tc>
        <w:tc>
          <w:tcPr>
            <w:tcBorders>
              <w:top w:val="single" w:color="000000" w:sz="4" w:space="0"/>
              <w:left w:val="single" w:color="000000" w:sz="4" w:space="0"/>
              <w:bottom w:val="single" w:color="000000" w:sz="4" w:space="0"/>
              <w:right w:val="single" w:color="000000" w:sz="4" w:space="0"/>
            </w:tcBorders>
            <w:tcW w:w="3376" w:type="dxa"/>
            <w:textDirection w:val="lrTb"/>
            <w:noWrap w:val="false"/>
          </w:tcPr>
          <w:p>
            <w:pPr>
              <w:pBdr/>
              <w:spacing/>
              <w:ind w:right="332"/>
              <w:jc w:val="both"/>
              <w:rPr/>
            </w:pPr>
            <w:r>
              <w:rPr>
                <w:b/>
                <w:sz w:val="20"/>
              </w:rPr>
              <w:t xml:space="preserve">Radiographic considerations:  </w:t>
            </w:r>
            <w:r>
              <w:rPr>
                <w:sz w:val="20"/>
              </w:rPr>
              <w:t xml:space="preserve">Refer to</w:t>
            </w:r>
            <w:r>
              <w:rPr>
                <w:b/>
                <w:sz w:val="20"/>
              </w:rPr>
              <w:t xml:space="preserve"> </w:t>
            </w:r>
            <w:r>
              <w:rPr>
                <w:sz w:val="20"/>
              </w:rPr>
              <w:t xml:space="preserve"> atelectasis above</w:t>
            </w:r>
            <w:r>
              <w:rPr>
                <w:b/>
                <w:sz w:val="20"/>
              </w:rPr>
              <w:t xml:space="preserve"> </w:t>
            </w:r>
            <w:r/>
          </w:p>
        </w:tc>
        <w:tc>
          <w:tcPr>
            <w:tcBorders>
              <w:top w:val="single" w:color="000000" w:sz="4" w:space="0"/>
              <w:left w:val="single" w:color="000000" w:sz="4" w:space="0"/>
              <w:bottom w:val="single" w:color="000000" w:sz="4" w:space="0"/>
              <w:right w:val="single" w:color="auto" w:sz="4" w:space="0"/>
            </w:tcBorders>
            <w:tcW w:w="2367" w:type="dxa"/>
            <w:textDirection w:val="lrTb"/>
            <w:noWrap w:val="false"/>
          </w:tcPr>
          <w:p>
            <w:pPr>
              <w:pBdr/>
              <w:spacing/>
              <w:ind w:left="2"/>
              <w:rPr/>
            </w:pPr>
            <w:r>
              <w:rPr>
                <w:b/>
                <w:sz w:val="20"/>
              </w:rPr>
              <w:t xml:space="preserve">No significant image. </w:t>
            </w:r>
            <w:r/>
          </w:p>
        </w:tc>
      </w:tr>
      <w:tr>
        <w:trPr>
          <w:trHeight w:val="2593"/>
        </w:trPr>
        <w:tc>
          <w:tcPr>
            <w:tcBorders>
              <w:top w:val="single" w:color="000000" w:sz="4" w:space="0"/>
              <w:left w:val="single" w:color="000000" w:sz="4" w:space="0"/>
              <w:bottom w:val="single" w:color="000000" w:sz="4" w:space="0"/>
              <w:right w:val="single" w:color="000000" w:sz="4" w:space="0"/>
            </w:tcBorders>
            <w:tcW w:w="2091" w:type="dxa"/>
            <w:textDirection w:val="lrTb"/>
            <w:noWrap w:val="false"/>
          </w:tcPr>
          <w:p>
            <w:pPr>
              <w:pBdr/>
              <w:spacing/>
              <w:ind/>
              <w:rPr/>
            </w:pPr>
            <w:r>
              <w:rPr>
                <w:b/>
                <w:sz w:val="20"/>
              </w:rPr>
              <w:t xml:space="preserve">Mediastinal emphysema (pneumomediastinum) </w:t>
            </w:r>
            <w:r/>
          </w:p>
        </w:tc>
        <w:tc>
          <w:tcPr>
            <w:tcBorders>
              <w:top w:val="single" w:color="000000" w:sz="4" w:space="0"/>
              <w:left w:val="single" w:color="000000" w:sz="4" w:space="0"/>
              <w:bottom w:val="single" w:color="000000" w:sz="4" w:space="0"/>
              <w:right w:val="single" w:color="000000" w:sz="4" w:space="0"/>
            </w:tcBorders>
            <w:tcW w:w="3086" w:type="dxa"/>
            <w:textDirection w:val="lrTb"/>
            <w:noWrap w:val="false"/>
          </w:tcPr>
          <w:p>
            <w:pPr>
              <w:pBdr/>
              <w:spacing/>
              <w:ind w:right="27"/>
              <w:rPr/>
            </w:pPr>
            <w:r>
              <w:rPr>
                <w:b/>
                <w:sz w:val="20"/>
              </w:rPr>
              <w:t xml:space="preserve">What is it? </w:t>
            </w:r>
            <w:r>
              <w:rPr>
                <w:sz w:val="20"/>
              </w:rPr>
              <w:t xml:space="preserve">Air in the mediastinal space because of chest trauma, or </w:t>
            </w:r>
            <w:r>
              <w:rPr>
                <w:sz w:val="20"/>
              </w:rPr>
              <w:t xml:space="preserve">perforation of the esophagus or tracheobronchial tree.  Spontaneous pneumomediastinum can be caused by severe coughing, vomiting, or straining.</w:t>
            </w:r>
            <w:r>
              <w:rPr>
                <w:b/>
                <w:sz w:val="20"/>
              </w:rPr>
              <w:t xml:space="preserve"> </w:t>
            </w:r>
            <w:r/>
          </w:p>
        </w:tc>
        <w:tc>
          <w:tcPr>
            <w:tcBorders>
              <w:top w:val="single" w:color="000000" w:sz="4" w:space="0"/>
              <w:left w:val="single" w:color="000000" w:sz="4" w:space="0"/>
              <w:bottom w:val="single" w:color="000000" w:sz="4" w:space="0"/>
              <w:right w:val="single" w:color="000000" w:sz="4" w:space="0"/>
            </w:tcBorders>
            <w:tcW w:w="3392" w:type="dxa"/>
            <w:textDirection w:val="lrTb"/>
            <w:noWrap w:val="false"/>
          </w:tcPr>
          <w:p>
            <w:pPr>
              <w:pBdr/>
              <w:spacing w:after="730" w:line="242" w:lineRule="auto"/>
              <w:ind w:right="90" w:left="2"/>
              <w:jc w:val="both"/>
              <w:rPr/>
            </w:pPr>
            <w:r>
              <w:rPr>
                <w:b/>
                <w:sz w:val="20"/>
              </w:rPr>
              <w:t xml:space="preserve">Symptoms/complications:  </w:t>
            </w:r>
            <w:r>
              <w:rPr>
                <w:sz w:val="20"/>
              </w:rPr>
              <w:t xml:space="preserve">May cause pneumothorax secondary to pneumomediastinum</w:t>
            </w:r>
            <w:r>
              <w:rPr>
                <w:b/>
                <w:sz w:val="20"/>
              </w:rPr>
              <w:t xml:space="preserve"> </w:t>
            </w:r>
            <w:r/>
          </w:p>
          <w:p>
            <w:pPr>
              <w:pBdr/>
              <w:spacing/>
              <w:ind w:left="2"/>
              <w:rPr/>
            </w:pPr>
            <w:r>
              <w:rPr>
                <w:sz w:val="20"/>
              </w:rPr>
              <w:t xml:space="preserve">This condition may resolve on its own, or may require surgery to block off the source of air. </w:t>
            </w:r>
            <w:r/>
          </w:p>
        </w:tc>
        <w:tc>
          <w:tcPr>
            <w:tcBorders>
              <w:top w:val="single" w:color="000000" w:sz="4" w:space="0"/>
              <w:left w:val="single" w:color="000000" w:sz="4" w:space="0"/>
              <w:bottom w:val="single" w:color="000000" w:sz="4" w:space="0"/>
              <w:right w:val="single" w:color="000000" w:sz="4" w:space="0"/>
            </w:tcBorders>
            <w:tcW w:w="3376" w:type="dxa"/>
            <w:textDirection w:val="lrTb"/>
            <w:noWrap w:val="false"/>
          </w:tcPr>
          <w:p>
            <w:pPr>
              <w:pBdr/>
              <w:spacing/>
              <w:ind/>
              <w:rPr/>
            </w:pPr>
            <w:r>
              <w:rPr>
                <w:b/>
                <w:sz w:val="20"/>
              </w:rPr>
              <w:t xml:space="preserve">Radiographic considerations: </w:t>
            </w:r>
            <w:r>
              <w:rPr>
                <w:sz w:val="20"/>
              </w:rPr>
              <w:t xml:space="preserve">Lateral displacement of the mediastinal pleura.  Air will be appear posterior to the sternum on lateral chest projections.</w:t>
            </w:r>
            <w:r>
              <w:rPr>
                <w:b/>
                <w:sz w:val="20"/>
              </w:rPr>
              <w:t xml:space="preserve">   </w:t>
            </w:r>
            <w:r/>
          </w:p>
        </w:tc>
        <w:tc>
          <w:tcPr>
            <w:tcBorders>
              <w:top w:val="single" w:color="000000" w:sz="4" w:space="0"/>
              <w:left w:val="single" w:color="000000" w:sz="4" w:space="0"/>
              <w:bottom w:val="single" w:color="000000" w:sz="4" w:space="0"/>
              <w:right w:val="single" w:color="auto" w:sz="4" w:space="0"/>
            </w:tcBorders>
            <w:tcW w:w="2367" w:type="dxa"/>
            <w:textDirection w:val="lrTb"/>
            <w:noWrap w:val="false"/>
          </w:tcPr>
          <w:p>
            <w:pPr>
              <w:pBdr/>
              <w:spacing/>
              <w:ind w:left="2"/>
              <w:rPr/>
            </w:pPr>
            <w:r>
              <w:rPr>
                <w:b/>
                <w:sz w:val="20"/>
              </w:rPr>
              <w:t xml:space="preserve">Eisenberg 3-81 </w:t>
            </w:r>
            <w:r/>
          </w:p>
        </w:tc>
      </w:tr>
    </w:tbl>
    <w:p>
      <w:pPr>
        <w:pBdr/>
        <w:spacing w:after="0"/>
        <w:ind w:right="14400" w:left="-1440"/>
        <w:rPr/>
      </w:pPr>
      <w:r>
        <w:br w:type="page" w:clear="all"/>
      </w:r>
      <w:r/>
    </w:p>
    <w:tbl>
      <w:tblPr>
        <w:tblStyle w:val="664"/>
        <w:tblpPr w:horzAnchor="page" w:tblpX="571" w:vertAnchor="page" w:tblpY="725" w:leftFromText="0" w:topFromText="0" w:rightFromText="0" w:bottomFromText="0"/>
        <w:tblOverlap w:val="never"/>
        <w:tblW w:w="15269" w:type="dxa"/>
        <w:tblInd w:w="0" w:type="dxa"/>
        <w:tblBorders/>
        <w:tblCellMar>
          <w:left w:w="108" w:type="dxa"/>
          <w:top w:w="45" w:type="dxa"/>
          <w:right w:w="73" w:type="dxa"/>
        </w:tblCellMar>
        <w:tblLook w:val="04A0" w:firstRow="1" w:lastRow="0" w:firstColumn="1" w:lastColumn="0" w:noHBand="0" w:noVBand="1"/>
      </w:tblPr>
      <w:tblGrid>
        <w:gridCol w:w="2000"/>
        <w:gridCol w:w="3104"/>
        <w:gridCol w:w="3404"/>
        <w:gridCol w:w="3401"/>
        <w:gridCol w:w="3360"/>
      </w:tblGrid>
      <w:tr>
        <w:trPr>
          <w:trHeight w:val="2448"/>
        </w:trPr>
        <w:tc>
          <w:tcPr>
            <w:tcBorders>
              <w:top w:val="single" w:color="000000" w:sz="4" w:space="0"/>
              <w:left w:val="single" w:color="000000" w:sz="4" w:space="0"/>
              <w:bottom w:val="single" w:color="000000" w:sz="4" w:space="0"/>
              <w:right w:val="single" w:color="000000" w:sz="4" w:space="0"/>
            </w:tcBorders>
            <w:tcW w:w="2000" w:type="dxa"/>
            <w:textDirection w:val="lrTb"/>
            <w:noWrap w:val="false"/>
          </w:tcPr>
          <w:p>
            <w:pPr>
              <w:pBdr/>
              <w:spacing/>
              <w:ind/>
              <w:rPr/>
            </w:pPr>
            <w:r>
              <w:rPr>
                <w:b/>
                <w:sz w:val="20"/>
              </w:rPr>
              <w:t xml:space="preserve">Subcutaneous emphysema </w:t>
            </w:r>
            <w:r/>
          </w:p>
        </w:tc>
        <w:tc>
          <w:tcPr>
            <w:tcBorders>
              <w:top w:val="single" w:color="000000" w:sz="4" w:space="0"/>
              <w:left w:val="single" w:color="000000" w:sz="4" w:space="0"/>
              <w:bottom w:val="single" w:color="000000" w:sz="4" w:space="0"/>
              <w:right w:val="single" w:color="000000" w:sz="4" w:space="0"/>
            </w:tcBorders>
            <w:tcW w:w="3104" w:type="dxa"/>
            <w:textDirection w:val="lrTb"/>
            <w:noWrap w:val="false"/>
          </w:tcPr>
          <w:p>
            <w:pPr>
              <w:pBdr/>
              <w:spacing/>
              <w:ind/>
              <w:rPr/>
            </w:pPr>
            <w:r>
              <w:rPr>
                <w:b/>
                <w:sz w:val="20"/>
              </w:rPr>
              <w:t xml:space="preserve">What is it?</w:t>
            </w:r>
            <w:r>
              <w:rPr>
                <w:sz w:val="20"/>
              </w:rPr>
              <w:t xml:space="preserve"> Air forced into the tissues surrounding the chest wall because of chest trauma that has compromised the lung and parietal pleura.  </w:t>
            </w:r>
            <w:r>
              <w:rPr>
                <w:b/>
              </w:rPr>
              <w:t xml:space="preserve"> </w:t>
            </w:r>
            <w:r/>
          </w:p>
        </w:tc>
        <w:tc>
          <w:tcPr>
            <w:tcBorders>
              <w:top w:val="single" w:color="000000" w:sz="4" w:space="0"/>
              <w:left w:val="single" w:color="000000" w:sz="4" w:space="0"/>
              <w:bottom w:val="single" w:color="000000" w:sz="4" w:space="0"/>
              <w:right w:val="single" w:color="000000" w:sz="4" w:space="0"/>
            </w:tcBorders>
            <w:tcW w:w="3404" w:type="dxa"/>
            <w:textDirection w:val="lrTb"/>
            <w:noWrap w:val="false"/>
          </w:tcPr>
          <w:p>
            <w:pPr>
              <w:pBdr/>
              <w:spacing w:after="732" w:line="242" w:lineRule="auto"/>
              <w:ind w:right="276" w:left="2"/>
              <w:jc w:val="both"/>
              <w:rPr/>
            </w:pPr>
            <w:r>
              <w:rPr>
                <w:b/>
                <w:sz w:val="20"/>
              </w:rPr>
              <w:t xml:space="preserve">Symptoms/complications:  </w:t>
            </w:r>
            <w:r>
              <w:rPr>
                <w:sz w:val="20"/>
              </w:rPr>
              <w:t xml:space="preserve">causes a crackling sound or sensation when </w:t>
            </w:r>
            <w:r>
              <w:rPr>
                <w:sz w:val="20"/>
              </w:rPr>
              <w:t xml:space="preserve">palplated</w:t>
            </w:r>
            <w:r>
              <w:rPr>
                <w:b/>
                <w:sz w:val="20"/>
              </w:rPr>
              <w:t xml:space="preserve"> </w:t>
            </w:r>
            <w:r/>
          </w:p>
          <w:p>
            <w:pPr>
              <w:pBdr/>
              <w:spacing/>
              <w:ind w:left="2"/>
              <w:rPr/>
            </w:pPr>
            <w:r>
              <w:rPr>
                <w:sz w:val="20"/>
              </w:rPr>
              <w:t xml:space="preserve">This condition may resolve on its own, or may require surgery to block off the source of air.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ight="76"/>
              <w:rPr/>
            </w:pPr>
            <w:r>
              <w:rPr>
                <w:b/>
                <w:sz w:val="20"/>
              </w:rPr>
              <w:t xml:space="preserve">Radiographic considerations: </w:t>
            </w:r>
            <w:r>
              <w:rPr>
                <w:sz w:val="20"/>
              </w:rPr>
              <w:t xml:space="preserve"> appears as streaks of air outlining muscle bundles of soft tissues surrounding the chest cavity </w:t>
            </w:r>
            <w:r/>
          </w:p>
        </w:tc>
        <w:tc>
          <w:tcPr>
            <w:tcBorders>
              <w:top w:val="single" w:color="000000" w:sz="4" w:space="0"/>
              <w:left w:val="single" w:color="000000" w:sz="4" w:space="0"/>
              <w:bottom w:val="single" w:color="000000" w:sz="4" w:space="0"/>
              <w:right w:val="none" w:color="000000" w:sz="4" w:space="0"/>
            </w:tcBorders>
            <w:tcW w:w="3360" w:type="dxa"/>
            <w:textDirection w:val="lrTb"/>
            <w:noWrap w:val="false"/>
          </w:tcPr>
          <w:p>
            <w:pPr>
              <w:pBdr/>
              <w:spacing/>
              <w:ind w:left="2"/>
              <w:rPr/>
            </w:pPr>
            <w:r>
              <w:rPr>
                <w:b/>
                <w:sz w:val="20"/>
              </w:rPr>
              <w:t xml:space="preserve">Eisenberg 3-83 </w:t>
            </w:r>
            <w:r/>
          </w:p>
        </w:tc>
      </w:tr>
      <w:tr>
        <w:trPr>
          <w:trHeight w:val="2737"/>
        </w:trPr>
        <w:tc>
          <w:tcPr>
            <w:tcBorders>
              <w:top w:val="single" w:color="000000" w:sz="4" w:space="0"/>
              <w:left w:val="single" w:color="000000" w:sz="4" w:space="0"/>
              <w:bottom w:val="single" w:color="000000" w:sz="4" w:space="0"/>
              <w:right w:val="single" w:color="000000" w:sz="4" w:space="0"/>
            </w:tcBorders>
            <w:tcW w:w="2000" w:type="dxa"/>
            <w:textDirection w:val="lrTb"/>
            <w:noWrap w:val="false"/>
          </w:tcPr>
          <w:p>
            <w:pPr>
              <w:pBdr/>
              <w:spacing/>
              <w:ind/>
              <w:rPr/>
            </w:pPr>
            <w:r>
              <w:rPr>
                <w:b/>
                <w:sz w:val="20"/>
              </w:rPr>
              <w:t xml:space="preserve">Bronchiectasis </w:t>
            </w:r>
            <w:r/>
          </w:p>
        </w:tc>
        <w:tc>
          <w:tcPr>
            <w:tcBorders>
              <w:top w:val="single" w:color="000000" w:sz="4" w:space="0"/>
              <w:left w:val="single" w:color="000000" w:sz="4" w:space="0"/>
              <w:bottom w:val="single" w:color="000000" w:sz="4" w:space="0"/>
              <w:right w:val="single" w:color="000000" w:sz="4" w:space="0"/>
            </w:tcBorders>
            <w:tcW w:w="3104" w:type="dxa"/>
            <w:textDirection w:val="lrTb"/>
            <w:noWrap w:val="false"/>
          </w:tcPr>
          <w:p>
            <w:pPr>
              <w:pBdr/>
              <w:spacing/>
              <w:ind/>
              <w:rPr/>
            </w:pPr>
            <w:r>
              <w:rPr>
                <w:b/>
                <w:sz w:val="20"/>
              </w:rPr>
              <w:t xml:space="preserve">What is it?</w:t>
            </w:r>
            <w:r>
              <w:rPr>
                <w:sz w:val="20"/>
              </w:rPr>
              <w:t xml:space="preserve"> Permanent dilatation of the one or more large bronchi because the muscular wall of the bronchi has been destroyed. Usually caused by acute infection (</w:t>
            </w:r>
            <w:r>
              <w:rPr>
                <w:sz w:val="20"/>
              </w:rPr>
              <w:t xml:space="preserve">eg.</w:t>
            </w:r>
            <w:r>
              <w:rPr>
                <w:sz w:val="20"/>
              </w:rPr>
              <w:t xml:space="preserve"> necrotizing pneumonia), or chronic infection arising from metabolic abnormalities (</w:t>
            </w:r>
            <w:r>
              <w:rPr>
                <w:sz w:val="20"/>
              </w:rPr>
              <w:t xml:space="preserve">eg.</w:t>
            </w:r>
            <w:r>
              <w:rPr>
                <w:sz w:val="20"/>
              </w:rPr>
              <w:t xml:space="preserve"> cystic fibrosis) Most commonly affects the lower lobes of the lungs </w:t>
            </w:r>
            <w:r/>
          </w:p>
        </w:tc>
        <w:tc>
          <w:tcPr>
            <w:tcBorders>
              <w:top w:val="single" w:color="000000" w:sz="4" w:space="0"/>
              <w:left w:val="single" w:color="000000" w:sz="4" w:space="0"/>
              <w:bottom w:val="single" w:color="000000" w:sz="4" w:space="0"/>
              <w:right w:val="single" w:color="000000" w:sz="4" w:space="0"/>
            </w:tcBorders>
            <w:tcW w:w="3404" w:type="dxa"/>
            <w:textDirection w:val="lrTb"/>
            <w:noWrap w:val="false"/>
          </w:tcPr>
          <w:p>
            <w:pPr>
              <w:pBdr/>
              <w:spacing/>
              <w:ind w:left="2"/>
              <w:rPr/>
            </w:pPr>
            <w:r>
              <w:rPr>
                <w:b/>
                <w:sz w:val="20"/>
              </w:rPr>
              <w:t xml:space="preserve">Symptoms/Complications:</w:t>
            </w:r>
            <w:r>
              <w:rPr>
                <w:sz w:val="20"/>
              </w:rPr>
              <w:t xml:space="preserve"> </w:t>
            </w:r>
            <w:r>
              <w:rPr>
                <w:b/>
                <w:sz w:val="20"/>
                <w:u w:val="single"/>
              </w:rPr>
              <w:t xml:space="preserve">Bronchitis</w:t>
            </w:r>
            <w:r>
              <w:rPr>
                <w:b/>
                <w:sz w:val="20"/>
              </w:rPr>
              <w:t xml:space="preserve"> </w:t>
            </w:r>
            <w:r/>
          </w:p>
          <w:p>
            <w:pPr>
              <w:pBdr/>
              <w:spacing/>
              <w:ind w:left="2"/>
              <w:rPr/>
            </w:pPr>
            <w:r>
              <w:rPr>
                <w:sz w:val="20"/>
              </w:rPr>
              <w:t xml:space="preserve">(inflammation of the mucus membranes of the bronchial tubes</w:t>
            </w:r>
            <w:r>
              <w:rPr>
                <w:b/>
                <w:sz w:val="20"/>
              </w:rPr>
              <w:t xml:space="preserve">)</w:t>
            </w:r>
            <w:r>
              <w:rPr>
                <w:sz w:val="20"/>
              </w:rPr>
              <w:t xml:space="preserve"> with a chronic productive cough, SOB, and hemoptysis (coughing up blood). Modern antibiotics and vaccines control many bacterial and viral agents that used to cause bronchiectasis so this condition is not as common as it once was.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ight="215"/>
              <w:jc w:val="both"/>
              <w:rPr/>
            </w:pPr>
            <w:r>
              <w:rPr>
                <w:b/>
                <w:sz w:val="20"/>
              </w:rPr>
              <w:t xml:space="preserve">Radiographic considerations: </w:t>
            </w:r>
            <w:r>
              <w:rPr>
                <w:sz w:val="20"/>
              </w:rPr>
              <w:t xml:space="preserve">Loss of lung markings caused by fibrosis and mucosal secretions </w:t>
            </w:r>
            <w:r/>
          </w:p>
        </w:tc>
        <w:tc>
          <w:tcPr>
            <w:tcBorders>
              <w:top w:val="single" w:color="000000" w:sz="4" w:space="0"/>
              <w:left w:val="single" w:color="000000" w:sz="4" w:space="0"/>
              <w:bottom w:val="single" w:color="000000" w:sz="4" w:space="0"/>
              <w:right w:val="none" w:color="000000" w:sz="4" w:space="0"/>
            </w:tcBorders>
            <w:tcW w:w="3360" w:type="dxa"/>
            <w:textDirection w:val="lrTb"/>
            <w:noWrap w:val="false"/>
          </w:tcPr>
          <w:p>
            <w:pPr>
              <w:pBdr/>
              <w:spacing/>
              <w:ind w:left="2"/>
              <w:rPr/>
            </w:pPr>
            <w:r>
              <w:rPr>
                <w:b/>
                <w:sz w:val="20"/>
              </w:rPr>
              <w:t xml:space="preserve">Eisenberg fig. 3-40 and 3-41 </w:t>
            </w:r>
            <w:r/>
          </w:p>
        </w:tc>
      </w:tr>
      <w:tr>
        <w:trPr>
          <w:trHeight w:val="3889"/>
        </w:trPr>
        <w:tc>
          <w:tcPr>
            <w:tcBorders>
              <w:top w:val="single" w:color="000000" w:sz="4" w:space="0"/>
              <w:left w:val="single" w:color="000000" w:sz="4" w:space="0"/>
              <w:bottom w:val="single" w:color="000000" w:sz="4" w:space="0"/>
              <w:right w:val="single" w:color="000000" w:sz="4" w:space="0"/>
            </w:tcBorders>
            <w:tcW w:w="2000" w:type="dxa"/>
            <w:textDirection w:val="lrTb"/>
            <w:noWrap w:val="false"/>
          </w:tcPr>
          <w:p>
            <w:pPr>
              <w:pBdr/>
              <w:spacing/>
              <w:ind/>
              <w:rPr/>
            </w:pPr>
            <w:r>
              <w:rPr>
                <w:b/>
                <w:sz w:val="20"/>
              </w:rPr>
              <w:t xml:space="preserve">Cystic Fibrosis (mucoviscidosis) </w:t>
            </w:r>
            <w:r/>
          </w:p>
        </w:tc>
        <w:tc>
          <w:tcPr>
            <w:tcBorders>
              <w:top w:val="single" w:color="000000" w:sz="4" w:space="0"/>
              <w:left w:val="single" w:color="000000" w:sz="4" w:space="0"/>
              <w:bottom w:val="single" w:color="000000" w:sz="4" w:space="0"/>
              <w:right w:val="single" w:color="000000" w:sz="4" w:space="0"/>
            </w:tcBorders>
            <w:tcW w:w="3104" w:type="dxa"/>
            <w:textDirection w:val="lrTb"/>
            <w:noWrap w:val="false"/>
          </w:tcPr>
          <w:p>
            <w:pPr>
              <w:pBdr/>
              <w:spacing/>
              <w:ind/>
              <w:rPr/>
            </w:pPr>
            <w:r>
              <w:rPr>
                <w:b/>
                <w:sz w:val="20"/>
              </w:rPr>
              <w:t xml:space="preserve">What is it?</w:t>
            </w:r>
            <w:r>
              <w:rPr>
                <w:sz w:val="20"/>
              </w:rPr>
              <w:t xml:space="preserve"> Most common fatal genetic disorder amongst white children, caused by a metabolic imbalance surrounding the production and reabsorption of sodium and chl</w:t>
            </w:r>
            <w:r>
              <w:rPr>
                <w:sz w:val="20"/>
              </w:rPr>
              <w:t xml:space="preserve">oride.  Patients produce profuse amounts of viscous mucus which clogs many organs including the small bowel, pancreas, biliary tract, and especially the trachea and bronchi of the respiratory system.  Mucus plugs lead to localized areas of lung collapse.  </w:t>
            </w:r>
            <w:r/>
          </w:p>
        </w:tc>
        <w:tc>
          <w:tcPr>
            <w:tcBorders>
              <w:top w:val="single" w:color="000000" w:sz="4" w:space="0"/>
              <w:left w:val="single" w:color="000000" w:sz="4" w:space="0"/>
              <w:bottom w:val="single" w:color="000000" w:sz="4" w:space="0"/>
              <w:right w:val="single" w:color="000000" w:sz="4" w:space="0"/>
            </w:tcBorders>
            <w:tcW w:w="3404" w:type="dxa"/>
            <w:textDirection w:val="lrTb"/>
            <w:noWrap w:val="false"/>
          </w:tcPr>
          <w:p>
            <w:pPr>
              <w:pBdr/>
              <w:spacing w:after="1" w:line="241" w:lineRule="auto"/>
              <w:ind w:right="113" w:left="2"/>
              <w:jc w:val="both"/>
              <w:rPr/>
            </w:pPr>
            <w:r>
              <w:rPr>
                <w:b/>
                <w:sz w:val="20"/>
              </w:rPr>
              <w:t xml:space="preserve">Complications: </w:t>
            </w:r>
            <w:r>
              <w:rPr>
                <w:sz w:val="20"/>
              </w:rPr>
              <w:t xml:space="preserve"> Repeated lung infections result when ba</w:t>
            </w:r>
            <w:r>
              <w:rPr>
                <w:sz w:val="20"/>
              </w:rPr>
              <w:t xml:space="preserve">cteria are trapped by viscous mucus.  By age 10 widespread bronchiectasis, cysts, and abscesses are common. Pancreatic enzymes cannot reach duodenum due to mucus plugs in the pancreatic duct; weight-loss and foul-smelling stools result. Bowel perforations </w:t>
            </w:r>
            <w:r/>
          </w:p>
          <w:p>
            <w:pPr>
              <w:pBdr/>
              <w:spacing w:after="1" w:line="240" w:lineRule="auto"/>
              <w:ind w:left="2"/>
              <w:rPr/>
            </w:pPr>
            <w:r>
              <w:rPr>
                <w:sz w:val="20"/>
              </w:rPr>
              <w:t xml:space="preserve">w/peritonitis can cause death. Patients may sweat 2-3 times more than normal. </w:t>
            </w:r>
            <w:r/>
          </w:p>
          <w:p>
            <w:pPr>
              <w:pBdr/>
              <w:spacing/>
              <w:ind w:left="2"/>
              <w:rPr/>
            </w:pPr>
            <w:r>
              <w:rPr>
                <w:sz w:val="20"/>
              </w:rPr>
              <w:t xml:space="preserve">Reliably diagnosed with “sweat test” which shows excessive levels of chloride on the skin.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ight="51"/>
              <w:jc w:val="both"/>
              <w:rPr/>
            </w:pPr>
            <w:r>
              <w:rPr>
                <w:b/>
                <w:sz w:val="20"/>
              </w:rPr>
              <w:t xml:space="preserve">Radiographic considerations</w:t>
            </w:r>
            <w:r>
              <w:rPr>
                <w:sz w:val="20"/>
              </w:rPr>
              <w:t xml:space="preserve">:  Th</w:t>
            </w:r>
            <w:r>
              <w:rPr>
                <w:sz w:val="20"/>
              </w:rPr>
              <w:t xml:space="preserve">is chronic condition is characterized radiographically by irregular thickening of lung markings and hyperinflation of lungs.  Antibiotics reduce lung infections, bronchodilators and chest tapping can be used to control infection and keep mucous moving.    </w:t>
            </w:r>
            <w:r/>
          </w:p>
        </w:tc>
        <w:tc>
          <w:tcPr>
            <w:tcBorders>
              <w:top w:val="single" w:color="000000" w:sz="4" w:space="0"/>
              <w:left w:val="single" w:color="000000" w:sz="4" w:space="0"/>
              <w:bottom w:val="single" w:color="000000" w:sz="4" w:space="0"/>
              <w:right w:val="none" w:color="000000" w:sz="4" w:space="0"/>
            </w:tcBorders>
            <w:tcW w:w="3360" w:type="dxa"/>
            <w:textDirection w:val="lrTb"/>
            <w:noWrap w:val="false"/>
          </w:tcPr>
          <w:p>
            <w:pPr>
              <w:pBdr/>
              <w:spacing/>
              <w:ind w:left="2"/>
              <w:rPr/>
            </w:pPr>
            <w:r>
              <w:rPr>
                <w:b/>
                <w:sz w:val="20"/>
              </w:rPr>
              <w:t xml:space="preserve">Eisenberg Fig. 3-11 </w:t>
            </w:r>
            <w:r/>
          </w:p>
        </w:tc>
      </w:tr>
    </w:tbl>
    <w:p>
      <w:pPr>
        <w:pBdr/>
        <w:spacing w:after="0"/>
        <w:ind w:right="14400" w:left="-1440"/>
        <w:rPr/>
      </w:pPr>
      <w:r>
        <w:br w:type="page" w:clear="all"/>
      </w:r>
      <w:r/>
    </w:p>
    <w:tbl>
      <w:tblPr>
        <w:tblStyle w:val="664"/>
        <w:tblpPr w:horzAnchor="page" w:tblpX="571" w:vertAnchor="page" w:tblpY="725" w:leftFromText="0" w:topFromText="0" w:rightFromText="0" w:bottomFromText="0"/>
        <w:tblOverlap w:val="never"/>
        <w:tblW w:w="15269" w:type="dxa"/>
        <w:tblInd w:w="0" w:type="dxa"/>
        <w:tblBorders/>
        <w:tblCellMar>
          <w:left w:w="108" w:type="dxa"/>
          <w:top w:w="45" w:type="dxa"/>
          <w:right w:w="50" w:type="dxa"/>
        </w:tblCellMar>
        <w:tblLook w:val="04A0" w:firstRow="1" w:lastRow="0" w:firstColumn="1" w:lastColumn="0" w:noHBand="0" w:noVBand="1"/>
      </w:tblPr>
      <w:tblGrid>
        <w:gridCol w:w="2000"/>
        <w:gridCol w:w="3104"/>
        <w:gridCol w:w="3404"/>
        <w:gridCol w:w="3401"/>
        <w:gridCol w:w="3360"/>
      </w:tblGrid>
      <w:tr>
        <w:trPr>
          <w:trHeight w:val="3024"/>
        </w:trPr>
        <w:tc>
          <w:tcPr>
            <w:tcBorders>
              <w:top w:val="single" w:color="000000" w:sz="4" w:space="0"/>
              <w:left w:val="single" w:color="000000" w:sz="4" w:space="0"/>
              <w:bottom w:val="single" w:color="000000" w:sz="4" w:space="0"/>
              <w:right w:val="single" w:color="000000" w:sz="4" w:space="0"/>
            </w:tcBorders>
            <w:tcW w:w="2000" w:type="dxa"/>
            <w:textDirection w:val="lrTb"/>
            <w:noWrap w:val="false"/>
          </w:tcPr>
          <w:p>
            <w:pPr>
              <w:pBdr/>
              <w:spacing/>
              <w:ind/>
              <w:rPr/>
            </w:pPr>
            <w:r>
              <w:rPr>
                <w:b/>
                <w:sz w:val="20"/>
              </w:rPr>
              <w:t xml:space="preserve">Hyaline Membrane </w:t>
            </w:r>
            <w:r/>
          </w:p>
          <w:p>
            <w:pPr>
              <w:pBdr/>
              <w:spacing/>
              <w:ind/>
              <w:rPr/>
            </w:pPr>
            <w:r>
              <w:rPr>
                <w:b/>
                <w:sz w:val="20"/>
              </w:rPr>
              <w:t xml:space="preserve">Disease (IRDS) </w:t>
            </w:r>
            <w:r/>
          </w:p>
        </w:tc>
        <w:tc>
          <w:tcPr>
            <w:tcBorders>
              <w:top w:val="single" w:color="000000" w:sz="4" w:space="0"/>
              <w:left w:val="single" w:color="000000" w:sz="4" w:space="0"/>
              <w:bottom w:val="single" w:color="000000" w:sz="4" w:space="0"/>
              <w:right w:val="single" w:color="000000" w:sz="4" w:space="0"/>
            </w:tcBorders>
            <w:tcW w:w="3104" w:type="dxa"/>
            <w:textDirection w:val="lrTb"/>
            <w:noWrap w:val="false"/>
          </w:tcPr>
          <w:p>
            <w:pPr>
              <w:pBdr/>
              <w:spacing/>
              <w:ind w:right="53"/>
              <w:rPr/>
            </w:pPr>
            <w:r>
              <w:rPr>
                <w:b/>
                <w:sz w:val="20"/>
              </w:rPr>
              <w:t xml:space="preserve">What is it?</w:t>
            </w:r>
            <w:r>
              <w:rPr>
                <w:sz w:val="20"/>
              </w:rPr>
              <w:t xml:space="preserve"> Also called idiopathic respiratory distress syndrome (IRDS), it affects infants born prematurely espec</w:t>
            </w:r>
            <w:r>
              <w:rPr>
                <w:sz w:val="20"/>
              </w:rPr>
              <w:t xml:space="preserve">ially of diabetic mothers.  Hypoxia and respiratory distress occur within 6 hours of birth. The surfactant producing cells in the alveoli haven’t reached complete maturity, which lowers surface tension and causes the alveoli to be unstable, and collapse.  </w:t>
            </w:r>
            <w:r/>
          </w:p>
        </w:tc>
        <w:tc>
          <w:tcPr>
            <w:tcBorders>
              <w:top w:val="single" w:color="000000" w:sz="4" w:space="0"/>
              <w:left w:val="single" w:color="000000" w:sz="4" w:space="0"/>
              <w:bottom w:val="single" w:color="000000" w:sz="4" w:space="0"/>
              <w:right w:val="single" w:color="000000" w:sz="4" w:space="0"/>
            </w:tcBorders>
            <w:tcW w:w="3404" w:type="dxa"/>
            <w:textDirection w:val="lrTb"/>
            <w:noWrap w:val="false"/>
          </w:tcPr>
          <w:p>
            <w:pPr>
              <w:pBdr/>
              <w:spacing/>
              <w:ind w:right="54" w:left="2"/>
              <w:rPr/>
            </w:pPr>
            <w:r>
              <w:rPr>
                <w:b/>
                <w:sz w:val="20"/>
              </w:rPr>
              <w:t xml:space="preserve">Complications:</w:t>
            </w:r>
            <w:r>
              <w:rPr>
                <w:sz w:val="20"/>
              </w:rPr>
              <w:t xml:space="preserve">  Rapid and labored breathing immediately or within 6 hours of birth with atelectasis and respiratory failure worsening. In severe cases respiratory and metabolic acidosis develop.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line="242" w:lineRule="auto"/>
              <w:ind/>
              <w:jc w:val="both"/>
              <w:rPr/>
            </w:pPr>
            <w:r>
              <w:rPr>
                <w:b/>
                <w:sz w:val="20"/>
              </w:rPr>
              <w:t xml:space="preserve">Radiographic considerations:</w:t>
            </w:r>
            <w:r>
              <w:rPr>
                <w:sz w:val="20"/>
              </w:rPr>
              <w:t xml:space="preserve">  Severe atelectasis shown on chest x-ray with </w:t>
            </w:r>
            <w:r/>
          </w:p>
          <w:p>
            <w:pPr>
              <w:pBdr/>
              <w:spacing/>
              <w:ind/>
              <w:rPr/>
            </w:pPr>
            <w:r>
              <w:rPr>
                <w:sz w:val="20"/>
              </w:rPr>
              <w:t xml:space="preserve">air-bronchogram sign, and “ground glass” look to lungs.  Artificial surfactants administered in a saline solution, and positive-pressure ventilation, can be used to allow time for natural surfactant production to begin.   A low </w:t>
            </w:r>
            <w:r>
              <w:rPr>
                <w:sz w:val="20"/>
              </w:rPr>
              <w:t xml:space="preserve">mAs</w:t>
            </w:r>
            <w:r>
              <w:rPr>
                <w:sz w:val="20"/>
              </w:rPr>
              <w:t xml:space="preserve"> may mimic the disease. . . </w:t>
            </w:r>
            <w:r/>
          </w:p>
        </w:tc>
        <w:tc>
          <w:tcPr>
            <w:tcBorders>
              <w:top w:val="single" w:color="000000" w:sz="4" w:space="0"/>
              <w:left w:val="single" w:color="000000" w:sz="4" w:space="0"/>
              <w:bottom w:val="single" w:color="000000" w:sz="4" w:space="0"/>
              <w:right w:val="none" w:color="000000" w:sz="4" w:space="0"/>
            </w:tcBorders>
            <w:tcW w:w="3360" w:type="dxa"/>
            <w:textDirection w:val="lrTb"/>
            <w:noWrap w:val="false"/>
          </w:tcPr>
          <w:p>
            <w:pPr>
              <w:pBdr/>
              <w:spacing/>
              <w:ind w:left="2"/>
              <w:rPr/>
            </w:pPr>
            <w:r>
              <w:rPr>
                <w:b/>
                <w:sz w:val="20"/>
              </w:rPr>
              <w:t xml:space="preserve">Eisenberg fig. 3-12 </w:t>
            </w:r>
            <w:r/>
          </w:p>
        </w:tc>
      </w:tr>
      <w:tr>
        <w:trPr>
          <w:trHeight w:val="1729"/>
        </w:trPr>
        <w:tc>
          <w:tcPr>
            <w:tcBorders>
              <w:top w:val="single" w:color="000000" w:sz="4" w:space="0"/>
              <w:left w:val="single" w:color="000000" w:sz="4" w:space="0"/>
              <w:bottom w:val="single" w:color="000000" w:sz="4" w:space="0"/>
              <w:right w:val="single" w:color="000000" w:sz="4" w:space="0"/>
            </w:tcBorders>
            <w:tcW w:w="2000" w:type="dxa"/>
            <w:textDirection w:val="lrTb"/>
            <w:noWrap w:val="false"/>
          </w:tcPr>
          <w:p>
            <w:pPr>
              <w:pBdr/>
              <w:spacing/>
              <w:ind/>
              <w:rPr/>
            </w:pPr>
            <w:r>
              <w:rPr>
                <w:b/>
                <w:sz w:val="20"/>
              </w:rPr>
              <w:t xml:space="preserve">Croup </w:t>
            </w:r>
            <w:r/>
          </w:p>
        </w:tc>
        <w:tc>
          <w:tcPr>
            <w:tcBorders>
              <w:top w:val="single" w:color="000000" w:sz="4" w:space="0"/>
              <w:left w:val="single" w:color="000000" w:sz="4" w:space="0"/>
              <w:bottom w:val="single" w:color="000000" w:sz="4" w:space="0"/>
              <w:right w:val="single" w:color="000000" w:sz="4" w:space="0"/>
            </w:tcBorders>
            <w:tcW w:w="3104" w:type="dxa"/>
            <w:textDirection w:val="lrTb"/>
            <w:noWrap w:val="false"/>
          </w:tcPr>
          <w:p>
            <w:pPr>
              <w:pBdr/>
              <w:spacing/>
              <w:ind w:right="50"/>
              <w:rPr/>
            </w:pPr>
            <w:r>
              <w:rPr>
                <w:b/>
                <w:sz w:val="20"/>
              </w:rPr>
              <w:t xml:space="preserve">What is it?</w:t>
            </w:r>
            <w:r>
              <w:rPr>
                <w:sz w:val="20"/>
              </w:rPr>
              <w:t xml:space="preserve"> Subglottic viral infection common in infants and young children </w:t>
            </w:r>
            <w:r/>
          </w:p>
        </w:tc>
        <w:tc>
          <w:tcPr>
            <w:tcBorders>
              <w:top w:val="single" w:color="000000" w:sz="4" w:space="0"/>
              <w:left w:val="single" w:color="000000" w:sz="4" w:space="0"/>
              <w:bottom w:val="single" w:color="000000" w:sz="4" w:space="0"/>
              <w:right w:val="single" w:color="000000" w:sz="4" w:space="0"/>
            </w:tcBorders>
            <w:tcW w:w="3404" w:type="dxa"/>
            <w:textDirection w:val="lrTb"/>
            <w:noWrap w:val="false"/>
          </w:tcPr>
          <w:p>
            <w:pPr>
              <w:pBdr/>
              <w:spacing/>
              <w:ind w:left="2"/>
              <w:rPr/>
            </w:pPr>
            <w:r>
              <w:rPr>
                <w:b/>
                <w:sz w:val="20"/>
              </w:rPr>
              <w:t xml:space="preserve">Symptoms</w:t>
            </w:r>
            <w:r>
              <w:rPr>
                <w:sz w:val="20"/>
              </w:rPr>
              <w:t xml:space="preserve"> – barking cough and respiratory stridor (high pitched noisy sound like blowing of the wind)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line="242" w:lineRule="auto"/>
              <w:ind w:right="46"/>
              <w:rPr/>
            </w:pPr>
            <w:r>
              <w:rPr>
                <w:b/>
                <w:sz w:val="20"/>
              </w:rPr>
              <w:t xml:space="preserve">Radiographic considerations:</w:t>
            </w:r>
            <w:r>
              <w:rPr>
                <w:sz w:val="20"/>
              </w:rPr>
              <w:t xml:space="preserve"> On an AP soft tissue neck the trachea </w:t>
            </w:r>
            <w:r/>
          </w:p>
          <w:p>
            <w:pPr>
              <w:pBdr/>
              <w:spacing w:after="1" w:line="240" w:lineRule="auto"/>
              <w:ind/>
              <w:rPr/>
            </w:pPr>
            <w:r>
              <w:rPr>
                <w:sz w:val="20"/>
              </w:rPr>
              <w:t xml:space="preserve">appears as a smooth hourglass/fusiform shape. Cool mist helps to alleviate symptoms. </w:t>
            </w:r>
            <w:r/>
          </w:p>
          <w:p>
            <w:pPr>
              <w:pBdr/>
              <w:spacing/>
              <w:ind/>
              <w:jc w:val="both"/>
              <w:rPr/>
            </w:pPr>
            <w:r>
              <w:rPr>
                <w:sz w:val="20"/>
              </w:rPr>
              <w:t xml:space="preserve">Corticosteroid treatment will help in extreme cases.  </w:t>
            </w:r>
            <w:r/>
          </w:p>
        </w:tc>
        <w:tc>
          <w:tcPr>
            <w:tcBorders>
              <w:top w:val="single" w:color="000000" w:sz="4" w:space="0"/>
              <w:left w:val="single" w:color="000000" w:sz="4" w:space="0"/>
              <w:bottom w:val="single" w:color="000000" w:sz="4" w:space="0"/>
              <w:right w:val="none" w:color="000000" w:sz="4" w:space="0"/>
            </w:tcBorders>
            <w:tcW w:w="3360" w:type="dxa"/>
            <w:textDirection w:val="lrTb"/>
            <w:noWrap w:val="false"/>
          </w:tcPr>
          <w:p>
            <w:pPr>
              <w:pBdr/>
              <w:spacing/>
              <w:ind w:left="2"/>
              <w:rPr/>
            </w:pPr>
            <w:r>
              <w:rPr>
                <w:b/>
                <w:sz w:val="20"/>
              </w:rPr>
              <w:t xml:space="preserve">Eisenberg fig. 3-13 </w:t>
            </w:r>
            <w:r/>
          </w:p>
        </w:tc>
      </w:tr>
      <w:tr>
        <w:trPr>
          <w:trHeight w:val="1728"/>
        </w:trPr>
        <w:tc>
          <w:tcPr>
            <w:tcBorders>
              <w:top w:val="single" w:color="000000" w:sz="4" w:space="0"/>
              <w:left w:val="single" w:color="000000" w:sz="4" w:space="0"/>
              <w:bottom w:val="single" w:color="000000" w:sz="4" w:space="0"/>
              <w:right w:val="single" w:color="000000" w:sz="4" w:space="0"/>
            </w:tcBorders>
            <w:tcW w:w="2000" w:type="dxa"/>
            <w:textDirection w:val="lrTb"/>
            <w:noWrap w:val="false"/>
          </w:tcPr>
          <w:p>
            <w:pPr>
              <w:pBdr/>
              <w:spacing/>
              <w:ind/>
              <w:rPr/>
            </w:pPr>
            <w:r>
              <w:rPr>
                <w:b/>
                <w:sz w:val="20"/>
              </w:rPr>
              <w:t xml:space="preserve">Epiglottitis </w:t>
            </w:r>
            <w:r/>
          </w:p>
        </w:tc>
        <w:tc>
          <w:tcPr>
            <w:tcBorders>
              <w:top w:val="single" w:color="000000" w:sz="4" w:space="0"/>
              <w:left w:val="single" w:color="000000" w:sz="4" w:space="0"/>
              <w:bottom w:val="single" w:color="000000" w:sz="4" w:space="0"/>
              <w:right w:val="single" w:color="000000" w:sz="4" w:space="0"/>
            </w:tcBorders>
            <w:tcW w:w="3104" w:type="dxa"/>
            <w:textDirection w:val="lrTb"/>
            <w:noWrap w:val="false"/>
          </w:tcPr>
          <w:p>
            <w:pPr>
              <w:pBdr/>
              <w:spacing/>
              <w:ind/>
              <w:rPr/>
            </w:pPr>
            <w:r>
              <w:rPr>
                <w:b/>
                <w:sz w:val="20"/>
              </w:rPr>
              <w:t xml:space="preserve">What is it?</w:t>
            </w:r>
            <w:r>
              <w:rPr>
                <w:sz w:val="20"/>
              </w:rPr>
              <w:t xml:space="preserve">  Acute infection of  the epiglottis caused by influenza virus, causes thickening of epiglottis and surrounding pharyngeal structures.  Incidence has been reduced due to vaccinations.  </w:t>
            </w:r>
            <w:r/>
          </w:p>
        </w:tc>
        <w:tc>
          <w:tcPr>
            <w:tcBorders>
              <w:top w:val="single" w:color="000000" w:sz="4" w:space="0"/>
              <w:left w:val="single" w:color="000000" w:sz="4" w:space="0"/>
              <w:bottom w:val="single" w:color="000000" w:sz="4" w:space="0"/>
              <w:right w:val="single" w:color="000000" w:sz="4" w:space="0"/>
            </w:tcBorders>
            <w:tcW w:w="3404" w:type="dxa"/>
            <w:textDirection w:val="lrTb"/>
            <w:noWrap w:val="false"/>
          </w:tcPr>
          <w:p>
            <w:pPr>
              <w:pBdr/>
              <w:spacing/>
              <w:ind w:left="2"/>
              <w:rPr/>
            </w:pPr>
            <w:r>
              <w:rPr>
                <w:b/>
                <w:sz w:val="20"/>
              </w:rPr>
              <w:t xml:space="preserve">Symptoms/complications</w:t>
            </w:r>
            <w:r>
              <w:rPr>
                <w:sz w:val="20"/>
              </w:rPr>
              <w:t xml:space="preserve"> – May cause complete airway obstruction and requires hospitalization. Intubation, antibiotics, and corticosteroids may be required.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ight="230"/>
              <w:jc w:val="both"/>
              <w:rPr/>
            </w:pPr>
            <w:r>
              <w:rPr>
                <w:b/>
                <w:sz w:val="20"/>
              </w:rPr>
              <w:t xml:space="preserve">Radiographic considerations:</w:t>
            </w:r>
            <w:r>
              <w:rPr>
                <w:sz w:val="20"/>
              </w:rPr>
              <w:t xml:space="preserve">  </w:t>
            </w:r>
            <w:r>
              <w:rPr>
                <w:b/>
                <w:sz w:val="20"/>
                <w:u w:val="single"/>
              </w:rPr>
              <w:t xml:space="preserve">Never</w:t>
            </w:r>
            <w:r>
              <w:rPr>
                <w:b/>
                <w:sz w:val="20"/>
              </w:rPr>
              <w:t xml:space="preserve"> </w:t>
            </w:r>
            <w:r>
              <w:rPr>
                <w:b/>
                <w:sz w:val="20"/>
                <w:u w:val="single"/>
              </w:rPr>
              <w:t xml:space="preserve">place patient in recumbent position.</w:t>
            </w:r>
            <w:r>
              <w:rPr>
                <w:b/>
                <w:sz w:val="20"/>
              </w:rPr>
              <w:t xml:space="preserve"> </w:t>
            </w:r>
            <w:r>
              <w:rPr>
                <w:sz w:val="20"/>
              </w:rPr>
              <w:t xml:space="preserve">Appears as</w:t>
            </w:r>
            <w:r>
              <w:rPr>
                <w:b/>
                <w:sz w:val="20"/>
              </w:rPr>
              <w:t xml:space="preserve"> </w:t>
            </w:r>
            <w:r>
              <w:rPr>
                <w:sz w:val="20"/>
              </w:rPr>
              <w:t xml:space="preserve">“thumb sign” on lateral soft tissue neck. </w:t>
            </w:r>
            <w:r/>
          </w:p>
        </w:tc>
        <w:tc>
          <w:tcPr>
            <w:tcBorders>
              <w:top w:val="single" w:color="000000" w:sz="4" w:space="0"/>
              <w:left w:val="single" w:color="000000" w:sz="4" w:space="0"/>
              <w:bottom w:val="single" w:color="000000" w:sz="4" w:space="0"/>
              <w:right w:val="none" w:color="000000" w:sz="4" w:space="0"/>
            </w:tcBorders>
            <w:tcW w:w="3360" w:type="dxa"/>
            <w:textDirection w:val="lrTb"/>
            <w:noWrap w:val="false"/>
          </w:tcPr>
          <w:p>
            <w:pPr>
              <w:pBdr/>
              <w:spacing/>
              <w:ind w:left="2"/>
              <w:rPr/>
            </w:pPr>
            <w:r>
              <w:rPr>
                <w:b/>
                <w:sz w:val="20"/>
              </w:rPr>
              <w:t xml:space="preserve">Eisenberg fig. 3-14 </w:t>
            </w:r>
            <w:r/>
          </w:p>
        </w:tc>
      </w:tr>
    </w:tbl>
    <w:p>
      <w:pPr>
        <w:pBdr/>
        <w:spacing w:after="0"/>
        <w:ind w:right="14400" w:left="-1440"/>
        <w:rPr/>
      </w:pPr>
      <w:r>
        <w:br w:type="page" w:clear="all"/>
      </w:r>
      <w:r/>
    </w:p>
    <w:tbl>
      <w:tblPr>
        <w:tblStyle w:val="664"/>
        <w:tblpPr w:horzAnchor="page" w:tblpX="571" w:vertAnchor="page" w:tblpY="725" w:leftFromText="0" w:topFromText="0" w:rightFromText="0" w:bottomFromText="0"/>
        <w:tblOverlap w:val="never"/>
        <w:tblW w:w="15269" w:type="dxa"/>
        <w:tblInd w:w="0" w:type="dxa"/>
        <w:tblBorders/>
        <w:tblCellMar>
          <w:left w:w="108" w:type="dxa"/>
          <w:top w:w="45" w:type="dxa"/>
          <w:right w:w="74" w:type="dxa"/>
        </w:tblCellMar>
        <w:tblLook w:val="04A0" w:firstRow="1" w:lastRow="0" w:firstColumn="1" w:lastColumn="0" w:noHBand="0" w:noVBand="1"/>
      </w:tblPr>
      <w:tblGrid>
        <w:gridCol w:w="2000"/>
        <w:gridCol w:w="3104"/>
        <w:gridCol w:w="3404"/>
        <w:gridCol w:w="3401"/>
        <w:gridCol w:w="3360"/>
      </w:tblGrid>
      <w:tr>
        <w:trPr>
          <w:trHeight w:val="1872"/>
        </w:trPr>
        <w:tc>
          <w:tcPr>
            <w:tcBorders>
              <w:top w:val="single" w:color="000000" w:sz="4" w:space="0"/>
              <w:left w:val="single" w:color="000000" w:sz="4" w:space="0"/>
              <w:bottom w:val="single" w:color="000000" w:sz="4" w:space="0"/>
              <w:right w:val="single" w:color="000000" w:sz="4" w:space="0"/>
            </w:tcBorders>
            <w:tcW w:w="2000" w:type="dxa"/>
            <w:textDirection w:val="lrTb"/>
            <w:noWrap w:val="false"/>
          </w:tcPr>
          <w:p>
            <w:pPr>
              <w:pBdr/>
              <w:spacing/>
              <w:ind/>
              <w:rPr/>
            </w:pPr>
            <w:r>
              <w:rPr>
                <w:b/>
                <w:sz w:val="20"/>
              </w:rPr>
              <w:t xml:space="preserve">SARS – Severe Acute </w:t>
            </w:r>
            <w:r/>
          </w:p>
          <w:p>
            <w:pPr>
              <w:pBdr/>
              <w:spacing/>
              <w:ind/>
              <w:rPr/>
            </w:pPr>
            <w:r>
              <w:rPr>
                <w:b/>
                <w:sz w:val="20"/>
              </w:rPr>
              <w:t xml:space="preserve">Respiratory </w:t>
            </w:r>
            <w:r/>
          </w:p>
          <w:p>
            <w:pPr>
              <w:pBdr/>
              <w:spacing/>
              <w:ind/>
              <w:rPr/>
            </w:pPr>
            <w:r>
              <w:rPr>
                <w:b/>
                <w:sz w:val="20"/>
              </w:rPr>
              <w:t xml:space="preserve">Syndrome </w:t>
            </w:r>
            <w:r/>
          </w:p>
        </w:tc>
        <w:tc>
          <w:tcPr>
            <w:tcBorders>
              <w:top w:val="single" w:color="000000" w:sz="4" w:space="0"/>
              <w:left w:val="single" w:color="000000" w:sz="4" w:space="0"/>
              <w:bottom w:val="single" w:color="000000" w:sz="4" w:space="0"/>
              <w:right w:val="single" w:color="000000" w:sz="4" w:space="0"/>
            </w:tcBorders>
            <w:tcW w:w="3104" w:type="dxa"/>
            <w:textDirection w:val="lrTb"/>
            <w:noWrap w:val="false"/>
          </w:tcPr>
          <w:p>
            <w:pPr>
              <w:pBdr/>
              <w:spacing/>
              <w:ind/>
              <w:rPr/>
            </w:pPr>
            <w:r>
              <w:rPr>
                <w:b/>
                <w:sz w:val="20"/>
              </w:rPr>
              <w:t xml:space="preserve">What is it? </w:t>
            </w:r>
            <w:r>
              <w:rPr>
                <w:sz w:val="20"/>
              </w:rPr>
              <w:t xml:space="preserve">A virus that causes </w:t>
            </w:r>
            <w:r>
              <w:rPr>
                <w:sz w:val="20"/>
              </w:rPr>
              <w:t xml:space="preserve">causes</w:t>
            </w:r>
            <w:r>
              <w:rPr>
                <w:sz w:val="20"/>
              </w:rPr>
              <w:t xml:space="preserve"> upper and lower respiratory infections.  Spread by contact or droplet.</w:t>
            </w:r>
            <w:r>
              <w:rPr>
                <w:b/>
                <w:sz w:val="20"/>
              </w:rPr>
              <w:t xml:space="preserve">  </w:t>
            </w:r>
            <w:r/>
          </w:p>
        </w:tc>
        <w:tc>
          <w:tcPr>
            <w:tcBorders>
              <w:top w:val="single" w:color="000000" w:sz="4" w:space="0"/>
              <w:left w:val="single" w:color="000000" w:sz="4" w:space="0"/>
              <w:bottom w:val="single" w:color="000000" w:sz="4" w:space="0"/>
              <w:right w:val="single" w:color="000000" w:sz="4" w:space="0"/>
            </w:tcBorders>
            <w:tcW w:w="3404" w:type="dxa"/>
            <w:textDirection w:val="lrTb"/>
            <w:noWrap w:val="false"/>
          </w:tcPr>
          <w:p>
            <w:pPr>
              <w:pBdr/>
              <w:spacing w:after="245" w:line="241" w:lineRule="auto"/>
              <w:ind w:right="283" w:left="2"/>
              <w:jc w:val="both"/>
              <w:rPr/>
            </w:pPr>
            <w:r>
              <w:rPr>
                <w:b/>
                <w:sz w:val="20"/>
              </w:rPr>
              <w:t xml:space="preserve">Signs/complications</w:t>
            </w:r>
            <w:r>
              <w:rPr>
                <w:sz w:val="20"/>
              </w:rPr>
              <w:t xml:space="preserve">:  Severe cases require intubation and mechanical ventilation. Symptoms are similar to pneumonia (described below)</w:t>
            </w:r>
            <w:r>
              <w:rPr>
                <w:b/>
                <w:sz w:val="20"/>
              </w:rPr>
              <w:t xml:space="preserve">  </w:t>
            </w:r>
            <w:r/>
          </w:p>
          <w:p>
            <w:pPr>
              <w:pBdr/>
              <w:spacing/>
              <w:ind w:left="2"/>
              <w:rPr/>
            </w:pPr>
            <w:r>
              <w:rPr>
                <w:sz w:val="20"/>
              </w:rPr>
              <w:t xml:space="preserve">Treated with antibiotics and antiviral drugs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ight="127"/>
              <w:jc w:val="both"/>
              <w:rPr/>
            </w:pPr>
            <w:r>
              <w:rPr>
                <w:b/>
                <w:sz w:val="20"/>
              </w:rPr>
              <w:t xml:space="preserve">Radiographic considerations:  </w:t>
            </w:r>
            <w:r>
              <w:rPr>
                <w:sz w:val="20"/>
              </w:rPr>
              <w:t xml:space="preserve">Followup</w:t>
            </w:r>
            <w:r>
              <w:rPr>
                <w:sz w:val="20"/>
              </w:rPr>
              <w:t xml:space="preserve"> chest x-rays are used to monitor the status of the disease and to determine the appropriate level of treatment.</w:t>
            </w:r>
            <w:r>
              <w:rPr>
                <w:b/>
                <w:sz w:val="20"/>
              </w:rPr>
              <w:t xml:space="preserve"> </w:t>
            </w:r>
            <w:r/>
          </w:p>
        </w:tc>
        <w:tc>
          <w:tcPr>
            <w:tcBorders>
              <w:top w:val="single" w:color="000000" w:sz="4" w:space="0"/>
              <w:left w:val="single" w:color="000000" w:sz="4" w:space="0"/>
              <w:bottom w:val="single" w:color="000000" w:sz="4" w:space="0"/>
              <w:right w:val="none" w:color="000000" w:sz="4" w:space="0"/>
            </w:tcBorders>
            <w:tcW w:w="3360" w:type="dxa"/>
            <w:textDirection w:val="lrTb"/>
            <w:noWrap w:val="false"/>
          </w:tcPr>
          <w:p>
            <w:pPr>
              <w:pBdr/>
              <w:spacing/>
              <w:ind w:left="2"/>
              <w:rPr/>
            </w:pPr>
            <w:r>
              <w:rPr>
                <w:b/>
                <w:sz w:val="20"/>
              </w:rPr>
              <w:t xml:space="preserve">No significant image. </w:t>
            </w:r>
            <w:r/>
          </w:p>
        </w:tc>
      </w:tr>
      <w:tr>
        <w:trPr>
          <w:trHeight w:val="6481"/>
        </w:trPr>
        <w:tc>
          <w:tcPr>
            <w:tcBorders>
              <w:top w:val="single" w:color="000000" w:sz="4" w:space="0"/>
              <w:left w:val="single" w:color="000000" w:sz="4" w:space="0"/>
              <w:bottom w:val="single" w:color="000000" w:sz="4" w:space="0"/>
              <w:right w:val="single" w:color="000000" w:sz="4" w:space="0"/>
            </w:tcBorders>
            <w:tcW w:w="2000" w:type="dxa"/>
            <w:textDirection w:val="lrTb"/>
            <w:noWrap w:val="false"/>
          </w:tcPr>
          <w:p>
            <w:pPr>
              <w:pBdr/>
              <w:spacing/>
              <w:ind/>
              <w:rPr/>
            </w:pPr>
            <w:r>
              <w:rPr>
                <w:b/>
                <w:sz w:val="20"/>
              </w:rPr>
              <w:t xml:space="preserve">Pneumonia </w:t>
            </w:r>
            <w:r/>
          </w:p>
        </w:tc>
        <w:tc>
          <w:tcPr>
            <w:tcBorders>
              <w:top w:val="single" w:color="000000" w:sz="4" w:space="0"/>
              <w:left w:val="single" w:color="000000" w:sz="4" w:space="0"/>
              <w:bottom w:val="single" w:color="000000" w:sz="4" w:space="0"/>
              <w:right w:val="single" w:color="000000" w:sz="4" w:space="0"/>
            </w:tcBorders>
            <w:tcW w:w="3104" w:type="dxa"/>
            <w:textDirection w:val="lrTb"/>
            <w:noWrap w:val="false"/>
          </w:tcPr>
          <w:p>
            <w:pPr>
              <w:pBdr/>
              <w:spacing w:after="1" w:line="241" w:lineRule="auto"/>
              <w:ind w:right="11"/>
              <w:rPr/>
            </w:pPr>
            <w:r>
              <w:rPr>
                <w:b/>
                <w:sz w:val="20"/>
              </w:rPr>
              <w:t xml:space="preserve">What is it? </w:t>
            </w:r>
            <w:r>
              <w:rPr>
                <w:sz w:val="20"/>
              </w:rPr>
              <w:t xml:space="preserve">Inflammation of the lungs. Caused by numerous bacterial and viral pathogens.  </w:t>
            </w:r>
            <w:r>
              <w:rPr>
                <w:b/>
                <w:sz w:val="20"/>
              </w:rPr>
              <w:t xml:space="preserve">Alveolar (pneumococcal) pneumonia: </w:t>
            </w:r>
            <w:r>
              <w:rPr>
                <w:sz w:val="20"/>
              </w:rPr>
              <w:t xml:space="preserve"> alveolar air is replaced with an inflammatory exudate.  Spread from one alveoli to the next via communicating channels and may eventually involve an entire lobe of lung. </w:t>
            </w:r>
            <w:r>
              <w:rPr>
                <w:b/>
                <w:sz w:val="20"/>
              </w:rPr>
              <w:t xml:space="preserve">Bronchopneumonia: </w:t>
            </w:r>
            <w:r>
              <w:rPr>
                <w:sz w:val="20"/>
              </w:rPr>
              <w:t xml:space="preserve">a bacterial infection that originates in the bronchiolar mucosa and spreads to adjacent alveoli. Does not tend to progress from one alveoli to the next so, only small patches of consolidation are visualized.</w:t>
            </w:r>
            <w:r>
              <w:rPr>
                <w:b/>
                <w:sz w:val="20"/>
              </w:rPr>
              <w:t xml:space="preserve">  I</w:t>
            </w:r>
            <w:r>
              <w:rPr>
                <w:b/>
                <w:sz w:val="20"/>
              </w:rPr>
              <w:t xml:space="preserve">nterstitial pneumonia: </w:t>
            </w:r>
            <w:r>
              <w:rPr>
                <w:sz w:val="20"/>
              </w:rPr>
              <w:t xml:space="preserve">A viral infection of the walls, linings, and alveolar septa. </w:t>
            </w:r>
            <w:r/>
          </w:p>
          <w:p>
            <w:pPr>
              <w:pBdr/>
              <w:spacing/>
              <w:ind/>
              <w:rPr/>
            </w:pPr>
            <w:r>
              <w:rPr>
                <w:b/>
                <w:sz w:val="20"/>
              </w:rPr>
              <w:t xml:space="preserve">Aspiration pneumonia:</w:t>
            </w:r>
            <w:r>
              <w:rPr>
                <w:sz w:val="20"/>
              </w:rPr>
              <w:t xml:space="preserve"> </w:t>
            </w:r>
            <w:r/>
          </w:p>
          <w:p>
            <w:pPr>
              <w:pBdr/>
              <w:spacing/>
              <w:ind/>
              <w:rPr/>
            </w:pPr>
            <w:r>
              <w:rPr>
                <w:sz w:val="20"/>
              </w:rPr>
              <w:t xml:space="preserve">Inflammation caused by aspiration of </w:t>
            </w:r>
            <w:r>
              <w:rPr>
                <w:b/>
                <w:sz w:val="20"/>
              </w:rPr>
              <w:t xml:space="preserve"> </w:t>
            </w:r>
            <w:r>
              <w:rPr>
                <w:sz w:val="20"/>
              </w:rPr>
              <w:t xml:space="preserve">esophageal or gastric contents </w:t>
            </w:r>
            <w:r/>
          </w:p>
        </w:tc>
        <w:tc>
          <w:tcPr>
            <w:tcBorders>
              <w:top w:val="single" w:color="000000" w:sz="4" w:space="0"/>
              <w:left w:val="single" w:color="000000" w:sz="4" w:space="0"/>
              <w:bottom w:val="single" w:color="000000" w:sz="4" w:space="0"/>
              <w:right w:val="single" w:color="000000" w:sz="4" w:space="0"/>
            </w:tcBorders>
            <w:tcW w:w="3404" w:type="dxa"/>
            <w:textDirection w:val="lrTb"/>
            <w:noWrap w:val="false"/>
          </w:tcPr>
          <w:p>
            <w:pPr>
              <w:pBdr/>
              <w:spacing w:after="469"/>
              <w:ind w:left="2"/>
              <w:rPr/>
            </w:pPr>
            <w:r>
              <w:rPr>
                <w:b/>
                <w:sz w:val="20"/>
              </w:rPr>
              <w:t xml:space="preserve">Signs and Symptoms:</w:t>
            </w:r>
            <w:r>
              <w:rPr>
                <w:sz w:val="20"/>
              </w:rPr>
              <w:t xml:space="preserve"> </w:t>
            </w:r>
            <w:r/>
          </w:p>
          <w:p>
            <w:pPr>
              <w:pBdr/>
              <w:spacing/>
              <w:ind w:left="2"/>
              <w:rPr/>
            </w:pPr>
            <w:r>
              <w:rPr>
                <w:sz w:val="20"/>
              </w:rPr>
              <w:t xml:space="preserve">Treatment includes antibiotics, rest, hydration, corticosteroids and </w:t>
            </w:r>
            <w:r>
              <w:rPr>
                <w:sz w:val="20"/>
              </w:rPr>
              <w:t xml:space="preserve">deepbreathing</w:t>
            </w:r>
            <w:r>
              <w:rPr>
                <w:sz w:val="20"/>
              </w:rPr>
              <w:t xml:space="preserve"> techniques.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after="469"/>
              <w:ind/>
              <w:rPr/>
            </w:pPr>
            <w:r>
              <w:rPr>
                <w:b/>
                <w:sz w:val="20"/>
              </w:rPr>
              <w:t xml:space="preserve">Radiographic considerations:</w:t>
            </w:r>
            <w:r>
              <w:rPr>
                <w:sz w:val="20"/>
              </w:rPr>
              <w:t xml:space="preserve"> </w:t>
            </w:r>
            <w:r/>
          </w:p>
          <w:p>
            <w:pPr>
              <w:pBdr/>
              <w:spacing w:after="488" w:line="241" w:lineRule="auto"/>
              <w:ind/>
              <w:rPr/>
            </w:pPr>
            <w:r>
              <w:rPr>
                <w:b/>
                <w:sz w:val="20"/>
              </w:rPr>
              <w:t xml:space="preserve">Alveolar (pneumococcal) pneumonia: </w:t>
            </w:r>
            <w:r>
              <w:rPr>
                <w:sz w:val="20"/>
              </w:rPr>
              <w:t xml:space="preserve">Normal air-filled bronchi will be visualized against the background of exudate-filled alveoli giving rise to the “air-bronchogram “ sign. </w:t>
            </w:r>
            <w:r/>
          </w:p>
          <w:p>
            <w:pPr>
              <w:pBdr/>
              <w:spacing w:after="488" w:line="241" w:lineRule="auto"/>
              <w:ind w:right="13"/>
              <w:rPr/>
            </w:pPr>
            <w:r>
              <w:rPr>
                <w:b/>
                <w:sz w:val="20"/>
              </w:rPr>
              <w:t xml:space="preserve">Bronchopneumonia:</w:t>
            </w:r>
            <w:r>
              <w:rPr>
                <w:sz w:val="20"/>
              </w:rPr>
              <w:t xml:space="preserve"> Opacifications associated with infected areas, are inter-</w:t>
            </w:r>
            <w:r>
              <w:rPr>
                <w:sz w:val="20"/>
              </w:rPr>
              <w:t xml:space="preserve">spersed</w:t>
            </w:r>
            <w:r>
              <w:rPr>
                <w:sz w:val="20"/>
              </w:rPr>
              <w:t xml:space="preserve"> amongst healthy </w:t>
            </w:r>
            <w:r>
              <w:rPr>
                <w:sz w:val="20"/>
              </w:rPr>
              <w:t xml:space="preserve">airfilled</w:t>
            </w:r>
            <w:r>
              <w:rPr>
                <w:sz w:val="20"/>
              </w:rPr>
              <w:t xml:space="preserve"> areas of the lungs. No </w:t>
            </w:r>
            <w:r>
              <w:rPr>
                <w:sz w:val="20"/>
              </w:rPr>
              <w:t xml:space="preserve">airbronchogram</w:t>
            </w:r>
            <w:r>
              <w:rPr>
                <w:sz w:val="20"/>
              </w:rPr>
              <w:t xml:space="preserve"> will be visualized. </w:t>
            </w:r>
            <w:r/>
          </w:p>
          <w:p>
            <w:pPr>
              <w:pBdr/>
              <w:spacing w:after="242" w:line="242" w:lineRule="auto"/>
              <w:ind/>
              <w:rPr/>
            </w:pPr>
            <w:r>
              <w:rPr>
                <w:b/>
                <w:sz w:val="20"/>
              </w:rPr>
              <w:t xml:space="preserve">Interstitial pneumonia: </w:t>
            </w:r>
            <w:r>
              <w:rPr>
                <w:sz w:val="20"/>
              </w:rPr>
              <w:t xml:space="preserve">A linear pattern appears though-out the affected lung fields.  </w:t>
            </w:r>
            <w:r>
              <w:rPr>
                <w:b/>
                <w:sz w:val="20"/>
              </w:rPr>
              <w:t xml:space="preserve"> </w:t>
            </w:r>
            <w:r/>
          </w:p>
          <w:p>
            <w:pPr>
              <w:pBdr/>
              <w:spacing/>
              <w:ind/>
              <w:rPr/>
            </w:pPr>
            <w:r>
              <w:rPr>
                <w:sz w:val="20"/>
              </w:rPr>
              <w:t xml:space="preserve">Aspiration pneumonia: multiple alveolar densities are distributed through-out lungs the posterior segments of the upper and lower lobes being most affected. </w:t>
            </w:r>
            <w:r/>
          </w:p>
        </w:tc>
        <w:tc>
          <w:tcPr>
            <w:tcBorders>
              <w:top w:val="single" w:color="000000" w:sz="4" w:space="0"/>
              <w:left w:val="single" w:color="000000" w:sz="4" w:space="0"/>
              <w:bottom w:val="single" w:color="000000" w:sz="4" w:space="0"/>
              <w:right w:val="none" w:color="000000" w:sz="4" w:space="0"/>
            </w:tcBorders>
            <w:tcW w:w="3360" w:type="dxa"/>
            <w:textDirection w:val="lrTb"/>
            <w:noWrap w:val="false"/>
          </w:tcPr>
          <w:p>
            <w:pPr>
              <w:pBdr/>
              <w:spacing/>
              <w:ind w:left="2"/>
              <w:rPr/>
            </w:pPr>
            <w:r>
              <w:rPr>
                <w:b/>
                <w:sz w:val="20"/>
              </w:rPr>
              <w:t xml:space="preserve">Eisenberg Fig. 3-15 thru 3-20 </w:t>
            </w:r>
            <w:r/>
          </w:p>
        </w:tc>
      </w:tr>
    </w:tbl>
    <w:p>
      <w:pPr>
        <w:pBdr/>
        <w:spacing w:after="0"/>
        <w:ind w:right="14400" w:left="-1440"/>
        <w:rPr/>
      </w:pPr>
      <w:r>
        <w:br w:type="page" w:clear="all"/>
      </w:r>
      <w:r/>
    </w:p>
    <w:tbl>
      <w:tblPr>
        <w:tblStyle w:val="664"/>
        <w:tblpPr w:horzAnchor="page" w:tblpX="571" w:vertAnchor="page" w:tblpY="725" w:leftFromText="0" w:topFromText="0" w:rightFromText="0" w:bottomFromText="0"/>
        <w:tblOverlap w:val="never"/>
        <w:tblW w:w="15269" w:type="dxa"/>
        <w:tblInd w:w="0" w:type="dxa"/>
        <w:tblBorders/>
        <w:tblCellMar>
          <w:left w:w="108" w:type="dxa"/>
          <w:top w:w="45" w:type="dxa"/>
          <w:right w:w="71" w:type="dxa"/>
        </w:tblCellMar>
        <w:tblLook w:val="04A0" w:firstRow="1" w:lastRow="0" w:firstColumn="1" w:lastColumn="0" w:noHBand="0" w:noVBand="1"/>
      </w:tblPr>
      <w:tblGrid>
        <w:gridCol w:w="2000"/>
        <w:gridCol w:w="3104"/>
        <w:gridCol w:w="3404"/>
        <w:gridCol w:w="3401"/>
        <w:gridCol w:w="3360"/>
      </w:tblGrid>
      <w:tr>
        <w:trPr>
          <w:trHeight w:val="5382"/>
        </w:trPr>
        <w:tc>
          <w:tcPr>
            <w:tcBorders>
              <w:top w:val="single" w:color="000000" w:sz="4" w:space="0"/>
              <w:left w:val="single" w:color="000000" w:sz="4" w:space="0"/>
              <w:bottom w:val="single" w:color="000000" w:sz="4" w:space="0"/>
              <w:right w:val="single" w:color="000000" w:sz="4" w:space="0"/>
            </w:tcBorders>
            <w:tcW w:w="2000" w:type="dxa"/>
            <w:textDirection w:val="lrTb"/>
            <w:noWrap w:val="false"/>
          </w:tcPr>
          <w:p>
            <w:pPr>
              <w:pBdr/>
              <w:spacing/>
              <w:ind/>
              <w:rPr/>
            </w:pPr>
            <w:r>
              <w:rPr>
                <w:b/>
                <w:sz w:val="20"/>
              </w:rPr>
              <w:t xml:space="preserve">Tuberculosis </w:t>
            </w:r>
            <w:r/>
          </w:p>
        </w:tc>
        <w:tc>
          <w:tcPr>
            <w:tcBorders>
              <w:top w:val="single" w:color="000000" w:sz="4" w:space="0"/>
              <w:left w:val="single" w:color="000000" w:sz="4" w:space="0"/>
              <w:bottom w:val="single" w:color="000000" w:sz="4" w:space="0"/>
              <w:right w:val="single" w:color="000000" w:sz="4" w:space="0"/>
            </w:tcBorders>
            <w:tcW w:w="3104" w:type="dxa"/>
            <w:textDirection w:val="lrTb"/>
            <w:noWrap w:val="false"/>
          </w:tcPr>
          <w:p>
            <w:pPr>
              <w:pBdr/>
              <w:spacing/>
              <w:ind/>
              <w:rPr/>
            </w:pPr>
            <w:r>
              <w:rPr>
                <w:b/>
                <w:sz w:val="20"/>
              </w:rPr>
              <w:t xml:space="preserve">What is it? I</w:t>
            </w:r>
            <w:r>
              <w:rPr>
                <w:sz w:val="20"/>
              </w:rPr>
              <w:t xml:space="preserve">nfection caused by </w:t>
            </w:r>
            <w:r>
              <w:rPr>
                <w:i/>
                <w:sz w:val="20"/>
              </w:rPr>
              <w:t xml:space="preserve">mycobacterium tuberculosis</w:t>
            </w:r>
            <w:r>
              <w:rPr>
                <w:sz w:val="20"/>
              </w:rPr>
              <w:t xml:space="preserve">, a pathogen that can survive outside the body for a long time, if conditions are dark; direct sunlight rapidly k</w:t>
            </w:r>
            <w:r>
              <w:rPr>
                <w:sz w:val="20"/>
              </w:rPr>
              <w:t xml:space="preserve">ills the pathogen. Tuberculosis is spread by air droplets from coughing patients, or the dust created by dried sputum, or from drinking the milk from infected cows. The disease usually affects the lungs but can also affect the GI, GU or skeletal systems.  </w:t>
            </w:r>
            <w:r/>
          </w:p>
        </w:tc>
        <w:tc>
          <w:tcPr>
            <w:tcBorders>
              <w:top w:val="single" w:color="000000" w:sz="4" w:space="0"/>
              <w:left w:val="single" w:color="000000" w:sz="4" w:space="0"/>
              <w:bottom w:val="single" w:color="000000" w:sz="4" w:space="0"/>
              <w:right w:val="single" w:color="000000" w:sz="4" w:space="0"/>
            </w:tcBorders>
            <w:tcW w:w="3404" w:type="dxa"/>
            <w:textDirection w:val="lrTb"/>
            <w:noWrap w:val="false"/>
          </w:tcPr>
          <w:p>
            <w:pPr>
              <w:pBdr/>
              <w:spacing/>
              <w:ind w:right="57" w:left="2"/>
              <w:jc w:val="both"/>
              <w:rPr/>
            </w:pPr>
            <w:r>
              <w:rPr>
                <w:b/>
                <w:sz w:val="20"/>
              </w:rPr>
              <w:t xml:space="preserve">Symptoms/complications:</w:t>
            </w:r>
            <w:r>
              <w:rPr>
                <w:sz w:val="20"/>
              </w:rPr>
              <w:t xml:space="preserve">  Primary lesions (tubercles) visible to the naked eye are composed of inflammatory cells surrounding an inner clump of bacteria. If the body’s immune system is strong and resistance is high, small infections will be encapsulated by fibrous tissue and the </w:t>
            </w:r>
            <w:r>
              <w:rPr>
                <w:sz w:val="20"/>
              </w:rPr>
              <w:t xml:space="preserve">condition will remain inactive as long as the patient’s immunity remains strong. If resistance is low and the infection is large, the tuberculosis bacilli will kill adjacent inflammatory cells and infected tissue within the tubercle will die, leaving a cav</w:t>
            </w:r>
            <w:r>
              <w:rPr>
                <w:sz w:val="20"/>
              </w:rPr>
              <w:t xml:space="preserve">itation in the lung field.  Blood vessels within cavitations rupture causing hemoptysis. Development of progressively larger cavities is fatal. </w:t>
            </w:r>
            <w:r>
              <w:rPr>
                <w:b/>
                <w:sz w:val="20"/>
                <w:u w:val="single"/>
              </w:rPr>
              <w:t xml:space="preserve">Secondary (reactivation) TB</w:t>
            </w:r>
            <w:r>
              <w:rPr>
                <w:sz w:val="20"/>
              </w:rPr>
              <w:t xml:space="preserve"> can occur years after initial exposure if the body’s immune system becomes weakened.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after="1" w:line="241" w:lineRule="auto"/>
              <w:ind w:right="80"/>
              <w:rPr/>
            </w:pPr>
            <w:r>
              <w:rPr>
                <w:b/>
                <w:sz w:val="20"/>
              </w:rPr>
              <w:t xml:space="preserve">Radiographic considerations:</w:t>
            </w:r>
            <w:r>
              <w:rPr>
                <w:sz w:val="20"/>
              </w:rPr>
              <w:t xml:space="preserve">  An apical lordotic chest image is best for diagnosing the disease as tuberculous scars usually occur in the posterior apical segments of the lungs. A tuberculin skin test (</w:t>
            </w:r>
            <w:r>
              <w:rPr>
                <w:sz w:val="20"/>
              </w:rPr>
              <w:t xml:space="preserve">mantoux</w:t>
            </w:r>
            <w:r>
              <w:rPr>
                <w:sz w:val="20"/>
              </w:rPr>
              <w:t xml:space="preserve"> test) can be used to detect history of previous infection: a derivative of the tuberculosis bacillus is injected beneath the skin.  If the body has already developed antibodies for the pathogen, the injection site will swell to 10mm or larger.  </w:t>
            </w:r>
            <w:r>
              <w:rPr>
                <w:b/>
                <w:sz w:val="20"/>
              </w:rPr>
              <w:t xml:space="preserve">However the </w:t>
            </w:r>
            <w:r>
              <w:rPr>
                <w:b/>
                <w:sz w:val="20"/>
              </w:rPr>
              <w:t xml:space="preserve">mantoux</w:t>
            </w:r>
            <w:r>
              <w:rPr>
                <w:b/>
                <w:sz w:val="20"/>
              </w:rPr>
              <w:t xml:space="preserve"> test will fail to test positive up to 10 weeks after an initial i</w:t>
            </w:r>
            <w:r>
              <w:rPr>
                <w:b/>
                <w:sz w:val="20"/>
              </w:rPr>
              <w:t xml:space="preserve">nfection. </w:t>
            </w:r>
            <w:r/>
          </w:p>
          <w:p>
            <w:pPr>
              <w:pBdr/>
              <w:spacing/>
              <w:ind/>
              <w:rPr/>
            </w:pPr>
            <w:r>
              <w:rPr>
                <w:sz w:val="20"/>
              </w:rPr>
              <w:t xml:space="preserve">Treatment includes 6-12 months of antibiotics.   </w:t>
            </w:r>
            <w:r/>
          </w:p>
        </w:tc>
        <w:tc>
          <w:tcPr>
            <w:tcBorders>
              <w:top w:val="single" w:color="000000" w:sz="4" w:space="0"/>
              <w:left w:val="single" w:color="000000" w:sz="4" w:space="0"/>
              <w:bottom w:val="single" w:color="000000" w:sz="4" w:space="0"/>
              <w:right w:val="none" w:color="000000" w:sz="4" w:space="0"/>
            </w:tcBorders>
            <w:tcW w:w="3360" w:type="dxa"/>
            <w:textDirection w:val="lrTb"/>
            <w:noWrap w:val="false"/>
          </w:tcPr>
          <w:p>
            <w:pPr>
              <w:pBdr/>
              <w:spacing/>
              <w:ind w:left="2"/>
              <w:rPr/>
            </w:pPr>
            <w:r>
              <w:rPr>
                <w:b/>
                <w:sz w:val="20"/>
              </w:rPr>
              <w:t xml:space="preserve">Eisenberg Fig. 3-28 is the best </w:t>
            </w:r>
            <w:r/>
          </w:p>
        </w:tc>
      </w:tr>
    </w:tbl>
    <w:p>
      <w:pPr>
        <w:pBdr/>
        <w:spacing w:after="0"/>
        <w:ind w:right="14400" w:left="-1440"/>
        <w:rPr/>
      </w:pPr>
      <w:r>
        <w:br w:type="page" w:clear="all"/>
      </w:r>
      <w:r/>
    </w:p>
    <w:tbl>
      <w:tblPr>
        <w:tblStyle w:val="664"/>
        <w:tblpPr w:horzAnchor="page" w:tblpX="571" w:vertAnchor="page" w:tblpY="725" w:leftFromText="0" w:topFromText="0" w:rightFromText="0" w:bottomFromText="0"/>
        <w:tblOverlap w:val="never"/>
        <w:tblW w:w="15269" w:type="dxa"/>
        <w:tblInd w:w="0" w:type="dxa"/>
        <w:tblBorders/>
        <w:tblCellMar>
          <w:left w:w="108" w:type="dxa"/>
          <w:top w:w="45" w:type="dxa"/>
          <w:right w:w="92" w:type="dxa"/>
        </w:tblCellMar>
        <w:tblLook w:val="04A0" w:firstRow="1" w:lastRow="0" w:firstColumn="1" w:lastColumn="0" w:noHBand="0" w:noVBand="1"/>
      </w:tblPr>
      <w:tblGrid>
        <w:gridCol w:w="2000"/>
        <w:gridCol w:w="3104"/>
        <w:gridCol w:w="3404"/>
        <w:gridCol w:w="3401"/>
        <w:gridCol w:w="3360"/>
      </w:tblGrid>
      <w:tr>
        <w:trPr>
          <w:trHeight w:val="7662"/>
        </w:trPr>
        <w:tc>
          <w:tcPr>
            <w:tcBorders>
              <w:top w:val="single" w:color="000000" w:sz="4" w:space="0"/>
              <w:left w:val="single" w:color="000000" w:sz="4" w:space="0"/>
              <w:bottom w:val="single" w:color="000000" w:sz="4" w:space="0"/>
              <w:right w:val="single" w:color="000000" w:sz="4" w:space="0"/>
            </w:tcBorders>
            <w:tcW w:w="2000" w:type="dxa"/>
            <w:textDirection w:val="lrTb"/>
            <w:noWrap w:val="false"/>
          </w:tcPr>
          <w:p>
            <w:pPr>
              <w:pBdr/>
              <w:spacing/>
              <w:ind/>
              <w:rPr/>
            </w:pPr>
            <w:r>
              <w:rPr>
                <w:b/>
                <w:sz w:val="20"/>
              </w:rPr>
              <w:t xml:space="preserve">Chronic Obstructive </w:t>
            </w:r>
            <w:r/>
          </w:p>
          <w:p>
            <w:pPr>
              <w:pBdr/>
              <w:spacing/>
              <w:ind w:right="78"/>
              <w:jc w:val="both"/>
              <w:rPr/>
            </w:pPr>
            <w:r>
              <w:rPr>
                <w:b/>
                <w:sz w:val="20"/>
              </w:rPr>
              <w:t xml:space="preserve">Pulmonary Disease (COPD)/ Diffuse lung disease </w:t>
            </w:r>
            <w:r/>
          </w:p>
        </w:tc>
        <w:tc>
          <w:tcPr>
            <w:tcBorders>
              <w:top w:val="single" w:color="000000" w:sz="4" w:space="0"/>
              <w:left w:val="single" w:color="000000" w:sz="4" w:space="0"/>
              <w:bottom w:val="single" w:color="000000" w:sz="4" w:space="0"/>
              <w:right w:val="single" w:color="000000" w:sz="4" w:space="0"/>
            </w:tcBorders>
            <w:tcW w:w="3104" w:type="dxa"/>
            <w:textDirection w:val="lrTb"/>
            <w:noWrap w:val="false"/>
          </w:tcPr>
          <w:p>
            <w:pPr>
              <w:pBdr/>
              <w:spacing w:after="243" w:line="241" w:lineRule="auto"/>
              <w:ind/>
              <w:rPr/>
            </w:pPr>
            <w:r>
              <w:rPr>
                <w:b/>
                <w:sz w:val="20"/>
              </w:rPr>
              <w:t xml:space="preserve">What is it?</w:t>
            </w:r>
            <w:r>
              <w:rPr>
                <w:sz w:val="20"/>
              </w:rPr>
              <w:t xml:space="preserve"> A group of disorders that involve 1) chronic airway obstruction 2) distention of the alveoli. Risk factors include smoking, infection, air pollution, and exposure to occupational hazards such as asbestos. </w:t>
            </w:r>
            <w:r/>
          </w:p>
          <w:p>
            <w:pPr>
              <w:pBdr/>
              <w:spacing w:after="243" w:line="241" w:lineRule="auto"/>
              <w:ind/>
              <w:rPr/>
            </w:pPr>
            <w:r>
              <w:rPr>
                <w:b/>
                <w:sz w:val="20"/>
                <w:u w:val="single"/>
              </w:rPr>
              <w:t xml:space="preserve">Chronic bronchitis</w:t>
            </w:r>
            <w:r>
              <w:rPr>
                <w:sz w:val="20"/>
              </w:rPr>
              <w:t xml:space="preserve">: inflammation of the bronchi with increased production of sputum, and hyperplasia of over-worked mucous glands. Caused by infection, smoking (90% of the cases)or long-term exposure to </w:t>
            </w:r>
            <w:r>
              <w:rPr>
                <w:sz w:val="20"/>
              </w:rPr>
              <w:t xml:space="preserve">airpollution</w:t>
            </w:r>
            <w:r>
              <w:rPr>
                <w:sz w:val="20"/>
              </w:rPr>
              <w:t xml:space="preserve"> smoking </w:t>
            </w:r>
            <w:r/>
          </w:p>
          <w:p>
            <w:pPr>
              <w:pBdr/>
              <w:spacing w:line="242" w:lineRule="auto"/>
              <w:ind/>
              <w:rPr/>
            </w:pPr>
            <w:r>
              <w:rPr>
                <w:b/>
                <w:sz w:val="20"/>
                <w:u w:val="single"/>
              </w:rPr>
              <w:t xml:space="preserve">Emphysema: </w:t>
            </w:r>
            <w:r>
              <w:rPr>
                <w:sz w:val="20"/>
              </w:rPr>
              <w:t xml:space="preserve">obstruction and destruction of small airways and alveolar sacs: pollutants damage </w:t>
            </w:r>
            <w:r/>
          </w:p>
          <w:p>
            <w:pPr>
              <w:pBdr/>
              <w:spacing/>
              <w:ind/>
              <w:rPr/>
            </w:pPr>
            <w:r>
              <w:rPr>
                <w:sz w:val="20"/>
              </w:rPr>
              <w:t xml:space="preserve">the respiratory cilia, debris irritates the mucosa causing inflammation and increased mucous p</w:t>
            </w:r>
            <w:r>
              <w:rPr>
                <w:sz w:val="20"/>
              </w:rPr>
              <w:t xml:space="preserve">roduction,  airways become plugged, lungs become hyperinflated and alveolar structure is destroyed forming bullae.  As the lungs begin to fail the hear tries to compensate with resultant cardiomegaly. Bullae may rupture causing spontaneous pneumothorax or </w:t>
            </w:r>
            <w:r>
              <w:rPr>
                <w:sz w:val="20"/>
              </w:rPr>
              <w:t xml:space="preserve">ateletasis</w:t>
            </w:r>
            <w:r>
              <w:rPr>
                <w:sz w:val="20"/>
              </w:rPr>
              <w:t xml:space="preserve"> </w:t>
            </w:r>
            <w:r/>
          </w:p>
        </w:tc>
        <w:tc>
          <w:tcPr>
            <w:tcBorders>
              <w:top w:val="single" w:color="000000" w:sz="4" w:space="0"/>
              <w:left w:val="single" w:color="000000" w:sz="4" w:space="0"/>
              <w:bottom w:val="single" w:color="000000" w:sz="4" w:space="0"/>
              <w:right w:val="single" w:color="000000" w:sz="4" w:space="0"/>
            </w:tcBorders>
            <w:tcW w:w="3404" w:type="dxa"/>
            <w:textDirection w:val="lrTb"/>
            <w:noWrap w:val="false"/>
          </w:tcPr>
          <w:p>
            <w:pPr>
              <w:pBdr/>
              <w:spacing/>
              <w:ind w:left="2"/>
              <w:rPr/>
            </w:pPr>
            <w:r>
              <w:rPr>
                <w:b/>
                <w:sz w:val="20"/>
              </w:rPr>
              <w:t xml:space="preserve">Symptoms/complications:</w:t>
            </w:r>
            <w:r>
              <w:rPr>
                <w:sz w:val="20"/>
              </w:rPr>
              <w:t xml:space="preserve"> Disease is irreversible.  Limits airflow and may decrease elastic recoil of alveoli.  Chronic deterioration of pulmonary system wears heart out over time as it tries to ↑ blood flow (to compensate for ↓ airflow), leading to heart failure.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after="1691"/>
              <w:ind/>
              <w:rPr/>
            </w:pPr>
            <w:r>
              <w:rPr>
                <w:b/>
                <w:sz w:val="20"/>
              </w:rPr>
              <w:t xml:space="preserve">Radiographic Considerations: </w:t>
            </w:r>
            <w:r/>
          </w:p>
          <w:p>
            <w:pPr>
              <w:pBdr/>
              <w:spacing w:after="1" w:line="241" w:lineRule="auto"/>
              <w:ind/>
              <w:rPr/>
            </w:pPr>
            <w:r>
              <w:rPr>
                <w:b/>
                <w:sz w:val="20"/>
                <w:u w:val="single"/>
              </w:rPr>
              <w:t xml:space="preserve">Chronic bronchitis</w:t>
            </w:r>
            <w:r>
              <w:rPr>
                <w:sz w:val="20"/>
              </w:rPr>
              <w:t xml:space="preserve">: Generalized increase in lung markings (dirty chest) or thickened bronchial walls (“tramlines”), but  ½ of patients will have normal chest x-ray. Advanced cases </w:t>
            </w:r>
            <w:r/>
          </w:p>
          <w:p>
            <w:pPr>
              <w:pBdr/>
              <w:spacing w:after="490" w:line="239" w:lineRule="auto"/>
              <w:ind/>
              <w:rPr/>
            </w:pPr>
            <w:r>
              <w:rPr>
                <w:sz w:val="20"/>
              </w:rPr>
              <w:t xml:space="preserve">will show hyperinflation of the lungs (emphysema) </w:t>
            </w:r>
            <w:r/>
          </w:p>
          <w:p>
            <w:pPr>
              <w:pBdr/>
              <w:spacing/>
              <w:ind w:right="12"/>
              <w:rPr/>
            </w:pPr>
            <w:r>
              <w:rPr>
                <w:b/>
                <w:sz w:val="20"/>
                <w:u w:val="single"/>
              </w:rPr>
              <w:t xml:space="preserve">Emphysema</w:t>
            </w:r>
            <w:r>
              <w:rPr>
                <w:b/>
                <w:sz w:val="20"/>
              </w:rPr>
              <w:t xml:space="preserve">:</w:t>
            </w:r>
            <w:r>
              <w:rPr>
                <w:sz w:val="20"/>
              </w:rPr>
              <w:t xml:space="preserve"> X-ray shows depressed or flattened diaphragm, abnormally radiolucent lungs, ↑retrosternal air space (barrel-chest), large bullae most often near the apices or the bases of the lungs but may fill the entire hemothorax. </w:t>
            </w:r>
            <w:r/>
          </w:p>
        </w:tc>
        <w:tc>
          <w:tcPr>
            <w:tcBorders>
              <w:top w:val="single" w:color="000000" w:sz="4" w:space="0"/>
              <w:left w:val="single" w:color="000000" w:sz="4" w:space="0"/>
              <w:bottom w:val="single" w:color="000000" w:sz="4" w:space="0"/>
              <w:right w:val="none" w:color="000000" w:sz="4" w:space="0"/>
            </w:tcBorders>
            <w:tcW w:w="3360" w:type="dxa"/>
            <w:textDirection w:val="lrTb"/>
            <w:noWrap w:val="false"/>
          </w:tcPr>
          <w:p>
            <w:pPr>
              <w:pBdr/>
              <w:spacing/>
              <w:ind w:left="2"/>
              <w:rPr/>
            </w:pPr>
            <w:r>
              <w:rPr>
                <w:b/>
                <w:sz w:val="20"/>
              </w:rPr>
              <w:t xml:space="preserve">Eisenberg 3-35 thru 3-38 </w:t>
            </w:r>
            <w:r/>
          </w:p>
        </w:tc>
      </w:tr>
      <w:tr>
        <w:trPr>
          <w:trHeight w:val="2513"/>
        </w:trPr>
        <w:tc>
          <w:tcPr>
            <w:tcBorders>
              <w:top w:val="single" w:color="000000" w:sz="4" w:space="0"/>
              <w:left w:val="single" w:color="000000" w:sz="4" w:space="0"/>
              <w:bottom w:val="single" w:color="000000" w:sz="4" w:space="0"/>
              <w:right w:val="single" w:color="000000" w:sz="4" w:space="0"/>
            </w:tcBorders>
            <w:tcW w:w="2000" w:type="dxa"/>
            <w:textDirection w:val="lrTb"/>
            <w:noWrap w:val="false"/>
          </w:tcPr>
          <w:p>
            <w:pPr>
              <w:pBdr/>
              <w:spacing/>
              <w:ind/>
              <w:rPr/>
            </w:pPr>
            <w:r>
              <w:rPr>
                <w:b/>
                <w:sz w:val="20"/>
              </w:rPr>
              <w:t xml:space="preserve">Asthma </w:t>
            </w:r>
            <w:r/>
          </w:p>
        </w:tc>
        <w:tc>
          <w:tcPr>
            <w:tcBorders>
              <w:top w:val="single" w:color="000000" w:sz="4" w:space="0"/>
              <w:left w:val="single" w:color="000000" w:sz="4" w:space="0"/>
              <w:bottom w:val="single" w:color="000000" w:sz="4" w:space="0"/>
              <w:right w:val="single" w:color="000000" w:sz="4" w:space="0"/>
            </w:tcBorders>
            <w:tcW w:w="3104" w:type="dxa"/>
            <w:textDirection w:val="lrTb"/>
            <w:noWrap w:val="false"/>
          </w:tcPr>
          <w:p>
            <w:pPr>
              <w:pBdr/>
              <w:spacing/>
              <w:ind/>
              <w:rPr/>
            </w:pPr>
            <w:r>
              <w:rPr>
                <w:b/>
                <w:sz w:val="20"/>
              </w:rPr>
              <w:t xml:space="preserve">What is it? “</w:t>
            </w:r>
            <w:r>
              <w:rPr>
                <w:sz w:val="20"/>
              </w:rPr>
              <w:t xml:space="preserve">Reactive airway d</w:t>
            </w:r>
            <w:r>
              <w:rPr>
                <w:sz w:val="20"/>
              </w:rPr>
              <w:t xml:space="preserve">isease” characterized by inflammation of respiratory mucosa, increased production of mucous, bronchospasm, and narrowing of airways in response to extrinsic factors (molds, dust, dander, food etc.) and/or intrinsic factors (cold, exercise, emotional upset)</w:t>
            </w:r>
            <w:r>
              <w:rPr>
                <w:b/>
                <w:sz w:val="20"/>
              </w:rPr>
              <w:t xml:space="preserve">  </w:t>
            </w:r>
            <w:r/>
          </w:p>
        </w:tc>
        <w:tc>
          <w:tcPr>
            <w:tcBorders>
              <w:top w:val="single" w:color="000000" w:sz="4" w:space="0"/>
              <w:left w:val="single" w:color="000000" w:sz="4" w:space="0"/>
              <w:bottom w:val="single" w:color="000000" w:sz="4" w:space="0"/>
              <w:right w:val="single" w:color="000000" w:sz="4" w:space="0"/>
            </w:tcBorders>
            <w:tcW w:w="3404" w:type="dxa"/>
            <w:textDirection w:val="lrTb"/>
            <w:noWrap w:val="false"/>
          </w:tcPr>
          <w:p>
            <w:pPr>
              <w:pBdr/>
              <w:spacing w:after="247" w:line="240" w:lineRule="auto"/>
              <w:ind w:left="2"/>
              <w:rPr/>
            </w:pPr>
            <w:r>
              <w:rPr>
                <w:b/>
                <w:sz w:val="20"/>
              </w:rPr>
              <w:t xml:space="preserve">Symptoms/complications:  </w:t>
            </w:r>
            <w:r>
              <w:rPr>
                <w:sz w:val="20"/>
              </w:rPr>
              <w:t xml:space="preserve">Laboured, wheezy breathing.  Compromised expiration. </w:t>
            </w:r>
            <w:r/>
          </w:p>
          <w:p>
            <w:pPr>
              <w:pBdr/>
              <w:spacing/>
              <w:ind w:left="2"/>
              <w:rPr/>
            </w:pPr>
            <w:r>
              <w:rPr>
                <w:sz w:val="20"/>
              </w:rPr>
              <w:t xml:space="preserve">Uncontrolled asthma will cause scarring of the bronchial tubes</w:t>
            </w:r>
            <w:r>
              <w:rPr>
                <w:b/>
                <w:sz w:val="20"/>
              </w:rPr>
              <w:t xml:space="preserve">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Pr/>
            </w:pPr>
            <w:r>
              <w:rPr>
                <w:b/>
                <w:sz w:val="20"/>
              </w:rPr>
              <w:t xml:space="preserve">Radiographic considerations: </w:t>
            </w:r>
            <w:r/>
          </w:p>
          <w:p>
            <w:pPr>
              <w:pBdr/>
              <w:spacing w:after="1" w:line="241" w:lineRule="auto"/>
              <w:ind w:right="283"/>
              <w:rPr/>
            </w:pPr>
            <w:r>
              <w:rPr>
                <w:sz w:val="20"/>
              </w:rPr>
              <w:t xml:space="preserve">Radiographs taken between asthma attacks will appear normal.   A chest radiograph taken during an acute episode may demonstrate typical signs of hyperinflation (see emphysema above) </w:t>
            </w:r>
            <w:r/>
          </w:p>
          <w:p>
            <w:pPr>
              <w:pBdr/>
              <w:spacing/>
              <w:ind/>
              <w:rPr/>
            </w:pPr>
            <w:r>
              <w:rPr>
                <w:sz w:val="20"/>
              </w:rPr>
              <w:t xml:space="preserve">Emergency room radiographs are </w:t>
            </w:r>
            <w:r/>
          </w:p>
          <w:p>
            <w:pPr>
              <w:pBdr/>
              <w:spacing/>
              <w:ind/>
              <w:rPr/>
            </w:pPr>
            <w:r>
              <w:rPr>
                <w:sz w:val="20"/>
              </w:rPr>
              <w:t xml:space="preserve">taken to rule out progression to </w:t>
            </w:r>
            <w:r/>
          </w:p>
          <w:p>
            <w:pPr>
              <w:pBdr/>
              <w:spacing/>
              <w:ind/>
              <w:rPr/>
            </w:pPr>
            <w:r>
              <w:rPr>
                <w:sz w:val="20"/>
              </w:rPr>
              <w:t xml:space="preserve">pneumonia</w:t>
            </w:r>
            <w:r>
              <w:rPr>
                <w:b/>
                <w:sz w:val="20"/>
              </w:rPr>
              <w:t xml:space="preserve"> </w:t>
            </w:r>
            <w:r/>
          </w:p>
        </w:tc>
        <w:tc>
          <w:tcPr>
            <w:tcBorders>
              <w:top w:val="single" w:color="000000" w:sz="4" w:space="0"/>
              <w:left w:val="single" w:color="000000" w:sz="4" w:space="0"/>
              <w:bottom w:val="single" w:color="000000" w:sz="4" w:space="0"/>
              <w:right w:val="none" w:color="000000" w:sz="4" w:space="0"/>
            </w:tcBorders>
            <w:tcW w:w="3360" w:type="dxa"/>
            <w:textDirection w:val="lrTb"/>
            <w:noWrap w:val="false"/>
          </w:tcPr>
          <w:p>
            <w:pPr>
              <w:pBdr/>
              <w:spacing/>
              <w:ind w:left="2"/>
              <w:rPr/>
            </w:pPr>
            <w:r>
              <w:rPr>
                <w:b/>
                <w:sz w:val="20"/>
              </w:rPr>
              <w:t xml:space="preserve">No significant image </w:t>
            </w:r>
            <w:r/>
          </w:p>
        </w:tc>
      </w:tr>
    </w:tbl>
    <w:p>
      <w:pPr>
        <w:pBdr/>
        <w:spacing w:after="0"/>
        <w:ind w:right="14400" w:left="-1440"/>
        <w:rPr/>
      </w:pPr>
      <w:r>
        <w:br w:type="page" w:clear="all"/>
      </w:r>
      <w:r/>
    </w:p>
    <w:tbl>
      <w:tblPr>
        <w:tblStyle w:val="664"/>
        <w:tblpPr w:horzAnchor="page" w:tblpX="571" w:vertAnchor="page" w:tblpY="725" w:leftFromText="0" w:topFromText="0" w:rightFromText="0" w:bottomFromText="0"/>
        <w:tblOverlap w:val="never"/>
        <w:tblW w:w="15269" w:type="dxa"/>
        <w:tblInd w:w="0" w:type="dxa"/>
        <w:tblBorders/>
        <w:tblCellMar>
          <w:left w:w="108" w:type="dxa"/>
          <w:top w:w="45" w:type="dxa"/>
          <w:right w:w="73" w:type="dxa"/>
        </w:tblCellMar>
        <w:tblLook w:val="04A0" w:firstRow="1" w:lastRow="0" w:firstColumn="1" w:lastColumn="0" w:noHBand="0" w:noVBand="1"/>
      </w:tblPr>
      <w:tblGrid>
        <w:gridCol w:w="2000"/>
        <w:gridCol w:w="3104"/>
        <w:gridCol w:w="3404"/>
        <w:gridCol w:w="3401"/>
        <w:gridCol w:w="3360"/>
      </w:tblGrid>
      <w:tr>
        <w:trPr>
          <w:trHeight w:val="1872"/>
        </w:trPr>
        <w:tc>
          <w:tcPr>
            <w:tcBorders>
              <w:top w:val="single" w:color="000000" w:sz="4" w:space="0"/>
              <w:left w:val="single" w:color="000000" w:sz="4" w:space="0"/>
              <w:bottom w:val="single" w:color="000000" w:sz="4" w:space="0"/>
              <w:right w:val="single" w:color="000000" w:sz="4" w:space="0"/>
            </w:tcBorders>
            <w:tcW w:w="2000" w:type="dxa"/>
            <w:textDirection w:val="lrTb"/>
            <w:noWrap w:val="false"/>
          </w:tcPr>
          <w:p>
            <w:pPr>
              <w:pBdr/>
              <w:spacing/>
              <w:ind/>
              <w:rPr/>
            </w:pPr>
            <w:r>
              <w:rPr>
                <w:b/>
                <w:sz w:val="20"/>
              </w:rPr>
              <w:t xml:space="preserve">Sinusitis </w:t>
            </w:r>
            <w:r/>
          </w:p>
        </w:tc>
        <w:tc>
          <w:tcPr>
            <w:tcBorders>
              <w:top w:val="single" w:color="000000" w:sz="4" w:space="0"/>
              <w:left w:val="single" w:color="000000" w:sz="4" w:space="0"/>
              <w:bottom w:val="single" w:color="000000" w:sz="4" w:space="0"/>
              <w:right w:val="single" w:color="000000" w:sz="4" w:space="0"/>
            </w:tcBorders>
            <w:tcW w:w="3104" w:type="dxa"/>
            <w:textDirection w:val="lrTb"/>
            <w:noWrap w:val="false"/>
          </w:tcPr>
          <w:p>
            <w:pPr>
              <w:pBdr/>
              <w:spacing/>
              <w:ind/>
              <w:rPr/>
            </w:pPr>
            <w:r>
              <w:rPr>
                <w:b/>
                <w:sz w:val="20"/>
              </w:rPr>
              <w:t xml:space="preserve">What is it? </w:t>
            </w:r>
            <w:r>
              <w:rPr>
                <w:sz w:val="20"/>
              </w:rPr>
              <w:t xml:space="preserve">Inflammation and obstruction of normal sinus drainage. </w:t>
            </w:r>
            <w:r/>
          </w:p>
        </w:tc>
        <w:tc>
          <w:tcPr>
            <w:tcBorders>
              <w:top w:val="single" w:color="000000" w:sz="4" w:space="0"/>
              <w:left w:val="single" w:color="000000" w:sz="4" w:space="0"/>
              <w:bottom w:val="single" w:color="000000" w:sz="4" w:space="0"/>
              <w:right w:val="single" w:color="000000" w:sz="4" w:space="0"/>
            </w:tcBorders>
            <w:tcW w:w="3404" w:type="dxa"/>
            <w:textDirection w:val="lrTb"/>
            <w:noWrap w:val="false"/>
          </w:tcPr>
          <w:p>
            <w:pPr>
              <w:pBdr/>
              <w:spacing w:after="243" w:line="242" w:lineRule="auto"/>
              <w:ind w:left="2"/>
              <w:rPr/>
            </w:pPr>
            <w:r>
              <w:rPr>
                <w:b/>
                <w:sz w:val="20"/>
              </w:rPr>
              <w:t xml:space="preserve">Complications:  </w:t>
            </w:r>
            <w:r>
              <w:rPr>
                <w:sz w:val="20"/>
              </w:rPr>
              <w:t xml:space="preserve"> Pain, tenderness, fever.  </w:t>
            </w:r>
            <w:r/>
          </w:p>
          <w:p>
            <w:pPr>
              <w:pBdr/>
              <w:spacing/>
              <w:ind w:right="26" w:left="2"/>
              <w:rPr/>
            </w:pPr>
            <w:r>
              <w:rPr>
                <w:sz w:val="20"/>
              </w:rPr>
              <w:t xml:space="preserve">Destruction of any bony sinus wall is an unfavourable indication of secondary osteomyelitis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Pr/>
            </w:pPr>
            <w:r>
              <w:rPr>
                <w:b/>
                <w:sz w:val="20"/>
              </w:rPr>
              <w:t xml:space="preserve">Radiographic considerations:</w:t>
            </w:r>
            <w:r>
              <w:rPr>
                <w:sz w:val="20"/>
              </w:rPr>
              <w:t xml:space="preserve"> Inflammation will appear as a soft tissue density lining the walls of the sinuses.  Air-fluid levels indicate acute inflammatory disease. The maxillary sinuses are most often affected.   </w:t>
            </w:r>
            <w:r/>
          </w:p>
        </w:tc>
        <w:tc>
          <w:tcPr>
            <w:tcBorders>
              <w:top w:val="single" w:color="000000" w:sz="4" w:space="0"/>
              <w:left w:val="single" w:color="000000" w:sz="4" w:space="0"/>
              <w:bottom w:val="single" w:color="000000" w:sz="4" w:space="0"/>
              <w:right w:val="none" w:color="000000" w:sz="4" w:space="0"/>
            </w:tcBorders>
            <w:tcW w:w="3360" w:type="dxa"/>
            <w:textDirection w:val="lrTb"/>
            <w:noWrap w:val="false"/>
          </w:tcPr>
          <w:p>
            <w:pPr>
              <w:pBdr/>
              <w:spacing/>
              <w:ind w:left="2"/>
              <w:rPr/>
            </w:pPr>
            <w:r>
              <w:rPr>
                <w:b/>
                <w:sz w:val="20"/>
              </w:rPr>
              <w:t xml:space="preserve">Eisenberg 8-78, 8-79 </w:t>
            </w:r>
            <w:r/>
          </w:p>
        </w:tc>
      </w:tr>
      <w:tr>
        <w:trPr>
          <w:trHeight w:val="2513"/>
        </w:trPr>
        <w:tc>
          <w:tcPr>
            <w:tcBorders>
              <w:top w:val="single" w:color="000000" w:sz="4" w:space="0"/>
              <w:left w:val="single" w:color="000000" w:sz="4" w:space="0"/>
              <w:bottom w:val="single" w:color="000000" w:sz="4" w:space="0"/>
              <w:right w:val="single" w:color="000000" w:sz="4" w:space="0"/>
            </w:tcBorders>
            <w:tcW w:w="2000" w:type="dxa"/>
            <w:textDirection w:val="lrTb"/>
            <w:noWrap w:val="false"/>
          </w:tcPr>
          <w:p>
            <w:pPr>
              <w:pBdr/>
              <w:spacing/>
              <w:ind/>
              <w:rPr/>
            </w:pPr>
            <w:r>
              <w:rPr>
                <w:b/>
                <w:sz w:val="20"/>
              </w:rPr>
              <w:t xml:space="preserve">Bronchogenic Carcinoma </w:t>
            </w:r>
            <w:r/>
          </w:p>
        </w:tc>
        <w:tc>
          <w:tcPr>
            <w:tcBorders>
              <w:top w:val="single" w:color="000000" w:sz="4" w:space="0"/>
              <w:left w:val="single" w:color="000000" w:sz="4" w:space="0"/>
              <w:bottom w:val="single" w:color="000000" w:sz="4" w:space="0"/>
              <w:right w:val="single" w:color="000000" w:sz="4" w:space="0"/>
            </w:tcBorders>
            <w:tcW w:w="3104" w:type="dxa"/>
            <w:textDirection w:val="lrTb"/>
            <w:noWrap w:val="false"/>
          </w:tcPr>
          <w:p>
            <w:pPr>
              <w:pBdr/>
              <w:spacing/>
              <w:ind w:right="75"/>
              <w:rPr/>
            </w:pPr>
            <w:r>
              <w:rPr>
                <w:b/>
                <w:sz w:val="20"/>
              </w:rPr>
              <w:t xml:space="preserve">What is it?</w:t>
            </w:r>
            <w:r>
              <w:rPr>
                <w:sz w:val="20"/>
              </w:rPr>
              <w:t xml:space="preserve">  A malignancy that originates in the bronchial mucosa. Risk factors include smoking and inhalation of carcinogens. The three known non-small cell carcinomas (squamous, adenocarcinoma, and bronchiolar(alveolar) make up 80% of all lung cancers.   </w:t>
            </w:r>
            <w:r/>
          </w:p>
        </w:tc>
        <w:tc>
          <w:tcPr>
            <w:tcBorders>
              <w:top w:val="single" w:color="000000" w:sz="4" w:space="0"/>
              <w:left w:val="single" w:color="000000" w:sz="4" w:space="0"/>
              <w:bottom w:val="single" w:color="000000" w:sz="4" w:space="0"/>
              <w:right w:val="single" w:color="000000" w:sz="4" w:space="0"/>
            </w:tcBorders>
            <w:tcW w:w="3404" w:type="dxa"/>
            <w:textDirection w:val="lrTb"/>
            <w:noWrap w:val="false"/>
          </w:tcPr>
          <w:p>
            <w:pPr>
              <w:pBdr/>
              <w:spacing w:after="242" w:line="242" w:lineRule="auto"/>
              <w:ind w:left="2"/>
              <w:rPr/>
            </w:pPr>
            <w:r>
              <w:rPr>
                <w:b/>
                <w:sz w:val="20"/>
              </w:rPr>
              <w:t xml:space="preserve">Symptoms/ complications: </w:t>
            </w:r>
            <w:r>
              <w:rPr>
                <w:sz w:val="20"/>
              </w:rPr>
              <w:t xml:space="preserve">Causes gradual narrowing of the bronchial tree. </w:t>
            </w:r>
            <w:r/>
          </w:p>
          <w:p>
            <w:pPr>
              <w:pBdr/>
              <w:spacing/>
              <w:ind w:left="2"/>
              <w:rPr/>
            </w:pPr>
            <w:r>
              <w:rPr>
                <w:sz w:val="20"/>
              </w:rPr>
              <w:t xml:space="preserve">Cancer cells may be detected in sputum, but a biopsy of tumor is more conclusive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after="1" w:line="241" w:lineRule="auto"/>
              <w:ind/>
              <w:rPr/>
            </w:pPr>
            <w:r>
              <w:rPr>
                <w:b/>
                <w:sz w:val="20"/>
              </w:rPr>
              <w:t xml:space="preserve">Radiographic considerations:</w:t>
            </w:r>
            <w:r>
              <w:rPr>
                <w:sz w:val="20"/>
              </w:rPr>
              <w:t xml:space="preserve"> Tumor may appear as a singular mass or may only be detectable through secondary changes to the bronchi. </w:t>
            </w:r>
            <w:r/>
          </w:p>
          <w:p>
            <w:pPr>
              <w:pBdr/>
              <w:spacing/>
              <w:ind/>
              <w:rPr/>
            </w:pPr>
            <w:r>
              <w:rPr>
                <w:sz w:val="20"/>
              </w:rPr>
              <w:t xml:space="preserve">Unilateral enlargement of the hilum on serial radiographs is often the earliest sign of a developing bronchogenic carcinoma </w:t>
            </w:r>
            <w:r/>
          </w:p>
        </w:tc>
        <w:tc>
          <w:tcPr>
            <w:tcBorders>
              <w:top w:val="single" w:color="000000" w:sz="4" w:space="0"/>
              <w:left w:val="single" w:color="000000" w:sz="4" w:space="0"/>
              <w:bottom w:val="single" w:color="000000" w:sz="4" w:space="0"/>
              <w:right w:val="none" w:color="000000" w:sz="4" w:space="0"/>
            </w:tcBorders>
            <w:tcW w:w="3360" w:type="dxa"/>
            <w:textDirection w:val="lrTb"/>
            <w:noWrap w:val="false"/>
          </w:tcPr>
          <w:p>
            <w:pPr>
              <w:pBdr/>
              <w:spacing/>
              <w:ind w:left="2"/>
              <w:rPr/>
            </w:pPr>
            <w:r>
              <w:rPr>
                <w:b/>
                <w:sz w:val="20"/>
              </w:rPr>
              <w:t xml:space="preserve">No significant image </w:t>
            </w:r>
            <w:r/>
          </w:p>
        </w:tc>
      </w:tr>
      <w:tr>
        <w:trPr>
          <w:trHeight w:val="2513"/>
        </w:trPr>
        <w:tc>
          <w:tcPr>
            <w:tcBorders>
              <w:top w:val="single" w:color="000000" w:sz="4" w:space="0"/>
              <w:left w:val="single" w:color="000000" w:sz="4" w:space="0"/>
              <w:bottom w:val="single" w:color="000000" w:sz="4" w:space="0"/>
              <w:right w:val="single" w:color="000000" w:sz="4" w:space="0"/>
            </w:tcBorders>
            <w:tcW w:w="2000" w:type="dxa"/>
            <w:textDirection w:val="lrTb"/>
            <w:noWrap w:val="false"/>
          </w:tcPr>
          <w:p>
            <w:pPr>
              <w:pBdr/>
              <w:spacing/>
              <w:ind/>
              <w:rPr/>
            </w:pPr>
            <w:r>
              <w:rPr>
                <w:b/>
                <w:sz w:val="20"/>
              </w:rPr>
              <w:t xml:space="preserve">Pulmonary Metastases </w:t>
            </w:r>
            <w:r/>
          </w:p>
        </w:tc>
        <w:tc>
          <w:tcPr>
            <w:tcBorders>
              <w:top w:val="single" w:color="000000" w:sz="4" w:space="0"/>
              <w:left w:val="single" w:color="000000" w:sz="4" w:space="0"/>
              <w:bottom w:val="single" w:color="000000" w:sz="4" w:space="0"/>
              <w:right w:val="single" w:color="000000" w:sz="4" w:space="0"/>
            </w:tcBorders>
            <w:tcW w:w="3104" w:type="dxa"/>
            <w:textDirection w:val="lrTb"/>
            <w:noWrap w:val="false"/>
          </w:tcPr>
          <w:p>
            <w:pPr>
              <w:pBdr/>
              <w:spacing/>
              <w:ind/>
              <w:rPr/>
            </w:pPr>
            <w:r>
              <w:rPr>
                <w:b/>
                <w:sz w:val="20"/>
              </w:rPr>
              <w:t xml:space="preserve">What is it?</w:t>
            </w:r>
            <w:r>
              <w:rPr>
                <w:sz w:val="20"/>
              </w:rPr>
              <w:t xml:space="preserve"> Malignancy of the lungs that has developed from hematogenic or lymphatic spread from primary cancerous sites in the musculoskeletal system, breast, urogenital tract, thyroid or colon.  </w:t>
            </w:r>
            <w:r/>
          </w:p>
        </w:tc>
        <w:tc>
          <w:tcPr>
            <w:tcBorders>
              <w:top w:val="single" w:color="000000" w:sz="4" w:space="0"/>
              <w:left w:val="single" w:color="000000" w:sz="4" w:space="0"/>
              <w:bottom w:val="single" w:color="000000" w:sz="4" w:space="0"/>
              <w:right w:val="single" w:color="000000" w:sz="4" w:space="0"/>
            </w:tcBorders>
            <w:tcW w:w="3404" w:type="dxa"/>
            <w:textDirection w:val="lrTb"/>
            <w:noWrap w:val="false"/>
          </w:tcPr>
          <w:p>
            <w:pPr>
              <w:pBdr/>
              <w:spacing w:after="1" w:line="240" w:lineRule="auto"/>
              <w:ind w:right="390" w:left="2"/>
              <w:jc w:val="both"/>
              <w:rPr/>
            </w:pPr>
            <w:r>
              <w:rPr>
                <w:b/>
                <w:sz w:val="20"/>
              </w:rPr>
              <w:t xml:space="preserve">Symptoms/Complications: </w:t>
            </w:r>
            <w:r>
              <w:rPr>
                <w:sz w:val="20"/>
              </w:rPr>
              <w:t xml:space="preserve">Usually asymptomatic, but may have symptoms of </w:t>
            </w:r>
            <w:r/>
          </w:p>
          <w:p>
            <w:pPr>
              <w:pBdr/>
              <w:spacing/>
              <w:ind w:left="2"/>
              <w:rPr/>
            </w:pPr>
            <w:r>
              <w:rPr>
                <w:sz w:val="20"/>
              </w:rPr>
              <w:t xml:space="preserve">hypoxemia,dyspnea,cough</w:t>
            </w:r>
            <w:r>
              <w:rPr>
                <w:sz w:val="20"/>
              </w:rPr>
              <w:t xml:space="preserve"> and hemoptysis depending on where it </w:t>
            </w:r>
            <w:r>
              <w:rPr>
                <w:sz w:val="20"/>
              </w:rPr>
              <w:t xml:space="preserve">metastisizes</w:t>
            </w:r>
            <w:r>
              <w:rPr>
                <w:sz w:val="20"/>
              </w:rPr>
              <w:t xml:space="preserve"> from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Pr/>
            </w:pPr>
            <w:r>
              <w:rPr>
                <w:b/>
                <w:sz w:val="20"/>
              </w:rPr>
              <w:t xml:space="preserve">Radiographic considerations: </w:t>
            </w:r>
            <w:r>
              <w:rPr>
                <w:sz w:val="20"/>
              </w:rPr>
              <w:t xml:space="preserve">May appear as distinct round nodules throughout the lungs, </w:t>
            </w:r>
            <w:r>
              <w:rPr>
                <w:sz w:val="20"/>
              </w:rPr>
              <w:t xml:space="preserve">ie</w:t>
            </w:r>
            <w:r>
              <w:rPr>
                <w:sz w:val="20"/>
              </w:rPr>
              <w:t xml:space="preserve">. “cannonball lesions”, or a “snowstorm” of metastatic lesions.    </w:t>
            </w:r>
            <w:r/>
          </w:p>
        </w:tc>
        <w:tc>
          <w:tcPr>
            <w:tcBorders>
              <w:top w:val="single" w:color="000000" w:sz="4" w:space="0"/>
              <w:left w:val="single" w:color="000000" w:sz="4" w:space="0"/>
              <w:bottom w:val="single" w:color="000000" w:sz="4" w:space="0"/>
              <w:right w:val="none" w:color="000000" w:sz="4" w:space="0"/>
            </w:tcBorders>
            <w:tcW w:w="3360" w:type="dxa"/>
            <w:textDirection w:val="lrTb"/>
            <w:noWrap w:val="false"/>
          </w:tcPr>
          <w:p>
            <w:pPr>
              <w:pBdr/>
              <w:spacing/>
              <w:ind w:left="2"/>
              <w:rPr/>
            </w:pPr>
            <w:r>
              <w:rPr>
                <w:b/>
                <w:sz w:val="20"/>
              </w:rPr>
              <w:t xml:space="preserve">Eisenberg Fig. 3-63 thru 3-65 </w:t>
            </w:r>
            <w:r/>
          </w:p>
        </w:tc>
      </w:tr>
    </w:tbl>
    <w:p>
      <w:pPr>
        <w:pBdr/>
        <w:spacing w:after="0"/>
        <w:ind w:right="14400" w:left="-1440"/>
        <w:rPr/>
      </w:pPr>
      <w:r/>
      <w:r/>
    </w:p>
    <w:sectPr>
      <w:headerReference w:type="default" r:id="rId8"/>
      <w:footnotePr/>
      <w:endnotePr/>
      <w:type w:val="nextPage"/>
      <w:pgSz w:h="12240" w:orient="landscape" w:w="15840"/>
      <w:pgMar w:top="725" w:right="1440" w:bottom="1340"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Calibri">
    <w:panose1 w:val="020F050202020403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5"/>
      <w:pBdr/>
      <w:spacing/>
      <w:ind/>
      <w:rP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4"/>
        <w:szCs w:val="24"/>
        <w:lang w:val="en-CA" w:eastAsia="en-CA" w:bidi="ar-SA"/>
        <w14:ligatures w14:val="standardContextual"/>
      </w:rPr>
    </w:rPrDefault>
    <w:pPrDefault>
      <w:pPr>
        <w:pBdr/>
        <w:spacing w:after="160" w:afterAutospacing="0" w:before="0" w:beforeAutospacing="0" w:line="278"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66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66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66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66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66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66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662"/>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66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66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66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66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66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66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66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66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66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66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66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66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66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66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66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66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66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66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66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66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662"/>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66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19739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66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66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196c24"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66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66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66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6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6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c0e4f5" w:themeFill="accent1" w:themeFillTint="34"/>
    </w:tblPr>
    <w:tcPr>
      <w:tcBorders/>
    </w:tcPr>
    <w:tblStylePr w:type="band1Horz">
      <w:pPr>
        <w:pBdr/>
        <w:spacing/>
        <w:ind/>
      </w:pPr>
      <w:tblPr>
        <w:tblBorders/>
      </w:tblPr>
      <w:tcPr>
        <w:shd w:val="clear" w:color="ffffff" w:themeColor="accent1" w:themeTint="75" w:fill="71c3e8" w:themeFill="accent1" w:themeFillTint="75"/>
        <w:tcBorders/>
      </w:tcPr>
    </w:tblStylePr>
    <w:tblStylePr w:type="band1Vert">
      <w:pPr>
        <w:pBdr/>
        <w:spacing/>
        <w:ind/>
      </w:pPr>
      <w:tblPr>
        <w:tblBorders/>
      </w:tblPr>
      <w:tcPr>
        <w:shd w:val="clear" w:color="ffffff" w:themeColor="accent1" w:themeTint="75" w:fill="71c3e8"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156082" w:themeFill="accent1"/>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rFonts w:ascii="Arial" w:hAnsi="Arial"/>
        <w:b/>
        <w:color w:val="ffffff"/>
        <w:sz w:val="22"/>
      </w:rPr>
      <w:pPr>
        <w:pBdr/>
        <w:spacing/>
        <w:ind/>
      </w:pPr>
      <w:tblPr>
        <w:tblBorders/>
      </w:tblPr>
      <w:tcPr>
        <w:shd w:val="clear" w:color="ffffff" w:themeColor="accent1" w:fill="156082" w:themeFill="accent1"/>
        <w:tcBorders/>
      </w:tcPr>
    </w:tblStylePr>
    <w:tblStylePr w:type="lastRow">
      <w:rPr>
        <w:rFonts w:ascii="Arial" w:hAnsi="Arial"/>
        <w:b/>
        <w:color w:val="ffffff"/>
        <w:sz w:val="22"/>
      </w:rPr>
      <w:pPr>
        <w:pBdr/>
        <w:spacing/>
        <w:ind/>
      </w:pPr>
      <w:tblPr>
        <w:tblBorders/>
      </w:tblPr>
      <w:tcPr>
        <w:shd w:val="clear" w:color="ffffff" w:themeColor="accent1" w:fill="156082"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6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3d7" w:themeFill="accent2" w:themeFillTint="32"/>
    </w:tblPr>
    <w:tcPr>
      <w:tcBorders/>
    </w:tcPr>
    <w:tblStylePr w:type="band1Horz">
      <w:pPr>
        <w:pBdr/>
        <w:spacing/>
        <w:ind/>
      </w:pPr>
      <w:tblPr>
        <w:tblBorders/>
      </w:tblPr>
      <w:tcPr>
        <w:shd w:val="clear" w:color="ffffff" w:themeColor="accent2" w:themeTint="75" w:fill="f5bea1" w:themeFill="accent2" w:themeFillTint="75"/>
        <w:tcBorders/>
      </w:tcPr>
    </w:tblStylePr>
    <w:tblStylePr w:type="band1Vert">
      <w:pPr>
        <w:pBdr/>
        <w:spacing/>
        <w:ind/>
      </w:pPr>
      <w:tblPr>
        <w:tblBorders/>
      </w:tblPr>
      <w:tcPr>
        <w:shd w:val="clear" w:color="ffffff" w:themeColor="accent2" w:themeTint="75" w:fill="f5bea1"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97132" w:themeFill="accent2"/>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rFonts w:ascii="Arial" w:hAnsi="Arial"/>
        <w:b/>
        <w:color w:val="ffffff"/>
        <w:sz w:val="22"/>
      </w:rPr>
      <w:pPr>
        <w:pBdr/>
        <w:spacing/>
        <w:ind/>
      </w:pPr>
      <w:tblPr>
        <w:tblBorders/>
      </w:tblPr>
      <w:tcPr>
        <w:shd w:val="clear" w:color="ffffff" w:themeColor="accent2" w:fill="e97132" w:themeFill="accent2"/>
        <w:tcBorders/>
      </w:tcPr>
    </w:tblStylePr>
    <w:tblStylePr w:type="lastRow">
      <w:rPr>
        <w:rFonts w:ascii="Arial" w:hAnsi="Arial"/>
        <w:b/>
        <w:color w:val="ffffff"/>
        <w:sz w:val="22"/>
      </w:rPr>
      <w:pPr>
        <w:pBdr/>
        <w:spacing/>
        <w:ind/>
      </w:pPr>
      <w:tblPr>
        <w:tblBorders/>
      </w:tblPr>
      <w:tcPr>
        <w:shd w:val="clear" w:color="ffffff" w:themeColor="accent2" w:fill="e97132"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6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c1f0c7" w:themeFill="accent3" w:themeFillTint="34"/>
    </w:tblPr>
    <w:tcPr>
      <w:tcBorders/>
    </w:tcPr>
    <w:tblStylePr w:type="band1Horz">
      <w:pPr>
        <w:pBdr/>
        <w:spacing/>
        <w:ind/>
      </w:pPr>
      <w:tblPr>
        <w:tblBorders/>
      </w:tblPr>
      <w:tcPr>
        <w:shd w:val="clear" w:color="ffffff" w:themeColor="accent3" w:themeTint="75" w:fill="72de81" w:themeFill="accent3" w:themeFillTint="75"/>
        <w:tcBorders/>
      </w:tcPr>
    </w:tblStylePr>
    <w:tblStylePr w:type="band1Vert">
      <w:pPr>
        <w:pBdr/>
        <w:spacing/>
        <w:ind/>
      </w:pPr>
      <w:tblPr>
        <w:tblBorders/>
      </w:tblPr>
      <w:tcPr>
        <w:shd w:val="clear" w:color="ffffff" w:themeColor="accent3" w:themeTint="75" w:fill="72de81"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196b24" w:themeFill="accent3"/>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rFonts w:ascii="Arial" w:hAnsi="Arial"/>
        <w:b/>
        <w:color w:val="ffffff"/>
        <w:sz w:val="22"/>
      </w:rPr>
      <w:pPr>
        <w:pBdr/>
        <w:spacing/>
        <w:ind/>
      </w:pPr>
      <w:tblPr>
        <w:tblBorders/>
      </w:tblPr>
      <w:tcPr>
        <w:shd w:val="clear" w:color="ffffff" w:themeColor="accent3" w:fill="196b24" w:themeFill="accent3"/>
        <w:tcBorders/>
      </w:tcPr>
    </w:tblStylePr>
    <w:tblStylePr w:type="lastRow">
      <w:rPr>
        <w:rFonts w:ascii="Arial" w:hAnsi="Arial"/>
        <w:b/>
        <w:color w:val="ffffff"/>
        <w:sz w:val="22"/>
      </w:rPr>
      <w:pPr>
        <w:pBdr/>
        <w:spacing/>
        <w:ind/>
      </w:pPr>
      <w:tblPr>
        <w:tblBorders/>
      </w:tblPr>
      <w:tcPr>
        <w:shd w:val="clear" w:color="ffffff" w:themeColor="accent3" w:fill="196b24"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6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9edfb" w:themeFill="accent4" w:themeFillTint="34"/>
    </w:tblPr>
    <w:tcPr>
      <w:tcBorders/>
    </w:tcPr>
    <w:tblStylePr w:type="band1Horz">
      <w:pPr>
        <w:pBdr/>
        <w:spacing/>
        <w:ind/>
      </w:pPr>
      <w:tblPr>
        <w:tblBorders/>
      </w:tblPr>
      <w:tcPr>
        <w:shd w:val="clear" w:color="ffffff" w:themeColor="accent4" w:themeTint="75" w:fill="86d7f6" w:themeFill="accent4" w:themeFillTint="75"/>
        <w:tcBorders/>
      </w:tcPr>
    </w:tblStylePr>
    <w:tblStylePr w:type="band1Vert">
      <w:pPr>
        <w:pBdr/>
        <w:spacing/>
        <w:ind/>
      </w:pPr>
      <w:tblPr>
        <w:tblBorders/>
      </w:tblPr>
      <w:tcPr>
        <w:shd w:val="clear" w:color="ffffff" w:themeColor="accent4" w:themeTint="75" w:fill="86d7f6"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0f9ed5" w:themeFill="accent4"/>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rFonts w:ascii="Arial" w:hAnsi="Arial"/>
        <w:b/>
        <w:color w:val="ffffff"/>
        <w:sz w:val="22"/>
      </w:rPr>
      <w:pPr>
        <w:pBdr/>
        <w:spacing/>
        <w:ind/>
      </w:pPr>
      <w:tblPr>
        <w:tblBorders/>
      </w:tblPr>
      <w:tcPr>
        <w:shd w:val="clear" w:color="ffffff" w:themeColor="accent4" w:fill="0f9ed5" w:themeFill="accent4"/>
        <w:tcBorders/>
      </w:tcPr>
    </w:tblStylePr>
    <w:tblStylePr w:type="lastRow">
      <w:rPr>
        <w:rFonts w:ascii="Arial" w:hAnsi="Arial"/>
        <w:b/>
        <w:color w:val="ffffff"/>
        <w:sz w:val="22"/>
      </w:rPr>
      <w:pPr>
        <w:pBdr/>
        <w:spacing/>
        <w:ind/>
      </w:pPr>
      <w:tblPr>
        <w:tblBorders/>
      </w:tblPr>
      <w:tcPr>
        <w:shd w:val="clear" w:color="ffffff" w:themeColor="accent4" w:fill="0f9ed5"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6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2ceee" w:themeFill="accent5" w:themeFillTint="34"/>
    </w:tblPr>
    <w:tcPr>
      <w:tcBorders/>
    </w:tcPr>
    <w:tblStylePr w:type="band1Horz">
      <w:pPr>
        <w:pBdr/>
        <w:spacing/>
        <w:ind/>
      </w:pPr>
      <w:tblPr>
        <w:tblBorders/>
      </w:tblPr>
      <w:tcPr>
        <w:shd w:val="clear" w:color="ffffff" w:themeColor="accent5" w:themeTint="75" w:fill="e190d8" w:themeFill="accent5" w:themeFillTint="75"/>
        <w:tcBorders/>
      </w:tcPr>
    </w:tblStylePr>
    <w:tblStylePr w:type="band1Vert">
      <w:pPr>
        <w:pBdr/>
        <w:spacing/>
        <w:ind/>
      </w:pPr>
      <w:tblPr>
        <w:tblBorders/>
      </w:tblPr>
      <w:tcPr>
        <w:shd w:val="clear" w:color="ffffff" w:themeColor="accent5" w:themeTint="75" w:fill="e190d8"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a02b93" w:themeFill="accent5"/>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rFonts w:ascii="Arial" w:hAnsi="Arial"/>
        <w:b/>
        <w:color w:val="ffffff"/>
        <w:sz w:val="22"/>
      </w:rPr>
      <w:pPr>
        <w:pBdr/>
        <w:spacing/>
        <w:ind/>
      </w:pPr>
      <w:tblPr>
        <w:tblBorders/>
      </w:tblPr>
      <w:tcPr>
        <w:shd w:val="clear" w:color="ffffff" w:themeColor="accent5" w:fill="a02b93" w:themeFill="accent5"/>
        <w:tcBorders/>
      </w:tcPr>
    </w:tblStylePr>
    <w:tblStylePr w:type="lastRow">
      <w:rPr>
        <w:rFonts w:ascii="Arial" w:hAnsi="Arial"/>
        <w:b/>
        <w:color w:val="ffffff"/>
        <w:sz w:val="22"/>
      </w:rPr>
      <w:pPr>
        <w:pBdr/>
        <w:spacing/>
        <w:ind/>
      </w:pPr>
      <w:tblPr>
        <w:tblBorders/>
      </w:tblPr>
      <w:tcPr>
        <w:shd w:val="clear" w:color="ffffff" w:themeColor="accent5" w:fill="a02b93"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6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2d0" w:themeFill="accent6" w:themeFillTint="34"/>
    </w:tblPr>
    <w:tcPr>
      <w:tcBorders/>
    </w:tcPr>
    <w:tblStylePr w:type="band1Horz">
      <w:pPr>
        <w:pBdr/>
        <w:spacing/>
        <w:ind/>
      </w:pPr>
      <w:tblPr>
        <w:tblBorders/>
      </w:tblPr>
      <w:tcPr>
        <w:shd w:val="clear" w:color="ffffff" w:themeColor="accent6" w:themeTint="75" w:fill="a9e294" w:themeFill="accent6" w:themeFillTint="75"/>
        <w:tcBorders/>
      </w:tcPr>
    </w:tblStylePr>
    <w:tblStylePr w:type="band1Vert">
      <w:pPr>
        <w:pBdr/>
        <w:spacing/>
        <w:ind/>
      </w:pPr>
      <w:tblPr>
        <w:tblBorders/>
      </w:tblPr>
      <w:tcPr>
        <w:shd w:val="clear" w:color="ffffff" w:themeColor="accent6" w:themeTint="75" w:fill="a9e294"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4ea72e" w:themeFill="accent6"/>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rFonts w:ascii="Arial" w:hAnsi="Arial"/>
        <w:b/>
        <w:color w:val="ffffff"/>
        <w:sz w:val="22"/>
      </w:rPr>
      <w:pPr>
        <w:pBdr/>
        <w:spacing/>
        <w:ind/>
      </w:pPr>
      <w:tblPr>
        <w:tblBorders/>
      </w:tblPr>
      <w:tcPr>
        <w:shd w:val="clear" w:color="ffffff" w:themeColor="accent6" w:fill="4ea72e" w:themeFill="accent6"/>
        <w:tcBorders/>
      </w:tcPr>
    </w:tblStylePr>
    <w:tblStylePr w:type="lastRow">
      <w:rPr>
        <w:rFonts w:ascii="Arial" w:hAnsi="Arial"/>
        <w:b/>
        <w:color w:val="ffffff"/>
        <w:sz w:val="22"/>
      </w:rPr>
      <w:pPr>
        <w:pBdr/>
        <w:spacing/>
        <w:ind/>
      </w:pPr>
      <w:tblPr>
        <w:tblBorders/>
      </w:tblPr>
      <w:tcPr>
        <w:shd w:val="clear" w:color="ffffff" w:themeColor="accent6" w:fill="4ea72e"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662"/>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662"/>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1b7aa6" w:themeColor="accent1" w:themeTint="80" w:themeShade="95"/>
      </w:rPr>
      <w:pPr>
        <w:pBdr/>
        <w:spacing/>
        <w:ind/>
      </w:pPr>
      <w:tblPr>
        <w:tblBorders/>
      </w:tblPr>
      <w:tcPr>
        <w:tcBorders/>
      </w:tcPr>
    </w:tblStylePr>
    <w:tblStylePr w:type="firstRow">
      <w:rPr>
        <w:b/>
        <w:color w:val="1b7aa6" w:themeColor="accent1" w:themeTint="80" w:themeShade="95"/>
      </w:rPr>
      <w:pPr>
        <w:pBdr/>
        <w:spacing/>
        <w:ind/>
      </w:pPr>
      <w:tblPr>
        <w:tblBorders/>
      </w:tblPr>
      <w:tcPr>
        <w:tcBorders>
          <w:bottom w:val="single" w:color="000000" w:themeColor="accent1" w:themeTint="80" w:sz="12" w:space="0"/>
        </w:tcBorders>
      </w:tcPr>
    </w:tblStylePr>
    <w:tblStylePr w:type="lastCol">
      <w:rPr>
        <w:b/>
        <w:color w:val="1b7aa6" w:themeColor="accent1" w:themeTint="80" w:themeShade="95"/>
      </w:rPr>
      <w:pPr>
        <w:pBdr/>
        <w:spacing/>
        <w:ind/>
      </w:pPr>
      <w:tblPr>
        <w:tblBorders/>
      </w:tblPr>
      <w:tcPr>
        <w:tcBorders/>
      </w:tcPr>
    </w:tblStylePr>
    <w:tblStylePr w:type="lastRow">
      <w:rPr>
        <w:b/>
        <w:color w:val="1b7aa6"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66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12"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662"/>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f3f15" w:themeColor="accent3" w:themeTint="FE" w:themeShade="95"/>
      </w:rPr>
      <w:pPr>
        <w:pBdr/>
        <w:spacing/>
        <w:ind/>
      </w:pPr>
      <w:tblPr>
        <w:tblBorders/>
      </w:tblPr>
      <w:tcPr>
        <w:tcBorders/>
      </w:tcPr>
    </w:tblStylePr>
    <w:tblStylePr w:type="firstRow">
      <w:rPr>
        <w:b/>
        <w:color w:val="0f3f15" w:themeColor="accent3" w:themeTint="FE" w:themeShade="95"/>
      </w:rPr>
      <w:pPr>
        <w:pBdr/>
        <w:spacing/>
        <w:ind/>
      </w:pPr>
      <w:tblPr>
        <w:tblBorders/>
      </w:tblPr>
      <w:tcPr>
        <w:tcBorders>
          <w:bottom w:val="single" w:color="000000" w:themeColor="accent3" w:themeTint="FE" w:sz="12" w:space="0"/>
        </w:tcBorders>
      </w:tcPr>
    </w:tblStylePr>
    <w:tblStylePr w:type="lastCol">
      <w:rPr>
        <w:b/>
        <w:color w:val="0f3f15" w:themeColor="accent3" w:themeTint="FE" w:themeShade="95"/>
      </w:rPr>
      <w:pPr>
        <w:pBdr/>
        <w:spacing/>
        <w:ind/>
      </w:pPr>
      <w:tblPr>
        <w:tblBorders/>
      </w:tblPr>
      <w:tcPr>
        <w:tcBorders/>
      </w:tcPr>
    </w:tblStylePr>
    <w:tblStylePr w:type="lastRow">
      <w:rPr>
        <w:b/>
        <w:color w:val="0f3f1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66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12"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662"/>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5"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662"/>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6"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662"/>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662"/>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1b7aa6"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1b7aa6"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1b7aa6"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1b7aa6"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66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65215"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662"/>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0f3f15"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0f3f1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f3f15"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0f3f15"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662"/>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a"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662"/>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5d1956"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5d1956"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1956"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5d1956"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5d1956"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5d1956"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662"/>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2e621b" w:themeColor="accent6"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2e621b"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e621b"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2e621b"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2e621b"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2e621b"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6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6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6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6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6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6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6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66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66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66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66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66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66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66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66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66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66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66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48d45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66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66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d86dc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66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8fd974"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66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66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66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66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66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66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66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662"/>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66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cPr>
      <w:tcBorders/>
    </w:tcPr>
    <w:tblStylePr w:type="band1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156082"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156082"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66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ab86" w:themeFill="accent2" w:themeFillTint="97"/>
    </w:tblPr>
    <w:tcPr>
      <w:tcBorders/>
    </w:tcPr>
    <w:tblStylePr w:type="band1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2ab8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2ab8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66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8d45b" w:themeFill="accent3" w:themeFillTint="98"/>
    </w:tblPr>
    <w:tcPr>
      <w:tcBorders/>
    </w:tcPr>
    <w:tblStylePr w:type="band1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48d45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48d45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66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4" w:themeFill="accent4" w:themeFillTint="9A"/>
    </w:tblPr>
    <w:tcPr>
      <w:tcBorders/>
    </w:tcPr>
    <w:tblStylePr w:type="band1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60cbf4"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60cbf4"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66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86dcc" w:themeFill="accent5" w:themeFillTint="9A"/>
    </w:tblPr>
    <w:tcPr>
      <w:tcBorders/>
    </w:tcPr>
    <w:tblStylePr w:type="band1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d86dc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d86dc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66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8fd974" w:themeFill="accent6" w:themeFillTint="98"/>
    </w:tblPr>
    <w:tcPr>
      <w:tcBorders/>
    </w:tcPr>
    <w:tblStylePr w:type="band1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8fd974"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8fd974"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662"/>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662"/>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c384c" w:themeColor="accent1" w:themeShade="95"/>
      </w:rPr>
      <w:pPr>
        <w:pBdr/>
        <w:spacing/>
        <w:ind/>
      </w:pPr>
      <w:tblPr>
        <w:tblBorders/>
      </w:tblPr>
      <w:tcPr>
        <w:tcBorders/>
      </w:tcPr>
    </w:tblStylePr>
    <w:tblStylePr w:type="firstRow">
      <w:rPr>
        <w:b/>
        <w:color w:val="0c384c" w:themeColor="accent1" w:themeShade="95"/>
      </w:rPr>
      <w:pPr>
        <w:pBdr/>
        <w:spacing/>
        <w:ind/>
      </w:pPr>
      <w:tblPr>
        <w:tblBorders/>
      </w:tblPr>
      <w:tcPr>
        <w:tcBorders>
          <w:bottom w:val="single" w:color="000000" w:themeColor="accent1" w:sz="4" w:space="0"/>
        </w:tcBorders>
      </w:tcPr>
    </w:tblStylePr>
    <w:tblStylePr w:type="lastCol">
      <w:rPr>
        <w:b/>
        <w:color w:val="0c384c" w:themeColor="accent1" w:themeShade="95"/>
      </w:rPr>
      <w:pPr>
        <w:pBdr/>
        <w:spacing/>
        <w:ind/>
      </w:pPr>
      <w:tblPr>
        <w:tblBorders/>
      </w:tblPr>
      <w:tcPr>
        <w:tcBorders/>
      </w:tcPr>
    </w:tblStylePr>
    <w:tblStylePr w:type="lastRow">
      <w:rPr>
        <w:b/>
        <w:color w:val="0c384c"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66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4"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662"/>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0862e" w:themeColor="accent3" w:themeTint="98" w:themeShade="95"/>
      </w:rPr>
      <w:pPr>
        <w:pBdr/>
        <w:spacing/>
        <w:ind/>
      </w:pPr>
      <w:tblPr>
        <w:tblBorders/>
      </w:tblPr>
      <w:tcPr>
        <w:tcBorders/>
      </w:tcPr>
    </w:tblStylePr>
    <w:tblStylePr w:type="firstRow">
      <w:rPr>
        <w:b/>
        <w:color w:val="20862e" w:themeColor="accent3" w:themeTint="98" w:themeShade="95"/>
      </w:rPr>
      <w:pPr>
        <w:pBdr/>
        <w:spacing/>
        <w:ind/>
      </w:pPr>
      <w:tblPr>
        <w:tblBorders/>
      </w:tblPr>
      <w:tcPr>
        <w:tcBorders>
          <w:bottom w:val="single" w:color="000000" w:themeColor="accent3" w:themeTint="98" w:sz="4" w:space="0"/>
        </w:tcBorders>
      </w:tcPr>
    </w:tblStylePr>
    <w:tblStylePr w:type="lastCol">
      <w:rPr>
        <w:b/>
        <w:color w:val="20862e" w:themeColor="accent3" w:themeTint="98" w:themeShade="95"/>
      </w:rPr>
      <w:pPr>
        <w:pBdr/>
        <w:spacing/>
        <w:ind/>
      </w:pPr>
      <w:tblPr>
        <w:tblBorders/>
      </w:tblPr>
      <w:tcPr>
        <w:tcBorders/>
      </w:tcPr>
    </w:tblStylePr>
    <w:tblStylePr w:type="lastRow">
      <w:rPr>
        <w:b/>
        <w:color w:val="20862e"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662"/>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4"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662"/>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6288a" w:themeColor="accent5" w:themeTint="9A" w:themeShade="95"/>
      </w:rPr>
      <w:pPr>
        <w:pBdr/>
        <w:spacing/>
        <w:ind/>
      </w:pPr>
      <w:tblPr>
        <w:tblBorders/>
      </w:tblPr>
      <w:tcPr>
        <w:tcBorders/>
      </w:tcPr>
    </w:tblStylePr>
    <w:tblStylePr w:type="firstRow">
      <w:rPr>
        <w:b/>
        <w:color w:val="96288a" w:themeColor="accent5" w:themeTint="9A" w:themeShade="95"/>
      </w:rPr>
      <w:pPr>
        <w:pBdr/>
        <w:spacing/>
        <w:ind/>
      </w:pPr>
      <w:tblPr>
        <w:tblBorders/>
      </w:tblPr>
      <w:tcPr>
        <w:tcBorders>
          <w:bottom w:val="single" w:color="000000" w:themeColor="accent5" w:themeTint="9A" w:sz="4" w:space="0"/>
        </w:tcBorders>
      </w:tcPr>
    </w:tblStylePr>
    <w:tblStylePr w:type="lastCol">
      <w:rPr>
        <w:b/>
        <w:color w:val="96288a" w:themeColor="accent5" w:themeTint="9A" w:themeShade="95"/>
      </w:rPr>
      <w:pPr>
        <w:pBdr/>
        <w:spacing/>
        <w:ind/>
      </w:pPr>
      <w:tblPr>
        <w:tblBorders/>
      </w:tblPr>
      <w:tcPr>
        <w:tcBorders/>
      </w:tcPr>
    </w:tblStylePr>
    <w:tblStylePr w:type="lastRow">
      <w:rPr>
        <w:b/>
        <w:color w:val="96288a"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662"/>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7992a" w:themeColor="accent6" w:themeTint="98" w:themeShade="95"/>
      </w:rPr>
      <w:pPr>
        <w:pBdr/>
        <w:spacing/>
        <w:ind/>
      </w:pPr>
      <w:tblPr>
        <w:tblBorders/>
      </w:tblPr>
      <w:tcPr>
        <w:tcBorders/>
      </w:tcPr>
    </w:tblStylePr>
    <w:tblStylePr w:type="firstRow">
      <w:rPr>
        <w:b/>
        <w:color w:val="47992a" w:themeColor="accent6" w:themeTint="98" w:themeShade="95"/>
      </w:rPr>
      <w:pPr>
        <w:pBdr/>
        <w:spacing/>
        <w:ind/>
      </w:pPr>
      <w:tblPr>
        <w:tblBorders/>
      </w:tblPr>
      <w:tcPr>
        <w:tcBorders>
          <w:bottom w:val="single" w:color="000000" w:themeColor="accent6" w:themeTint="98" w:sz="4" w:space="0"/>
        </w:tcBorders>
      </w:tcPr>
    </w:tblStylePr>
    <w:tblStylePr w:type="lastCol">
      <w:rPr>
        <w:b/>
        <w:color w:val="47992a" w:themeColor="accent6" w:themeTint="98" w:themeShade="95"/>
      </w:rPr>
      <w:pPr>
        <w:pBdr/>
        <w:spacing/>
        <w:ind/>
      </w:pPr>
      <w:tblPr>
        <w:tblBorders/>
      </w:tblPr>
      <w:tcPr>
        <w:tcBorders/>
      </w:tcPr>
    </w:tblStylePr>
    <w:tblStylePr w:type="lastRow">
      <w:rPr>
        <w:b/>
        <w:color w:val="47992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662"/>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662"/>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0c384c"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0c384c"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c384c"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0c384c"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0c384c"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0c384c"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c384c" w:themeColor="accent1" w:themeShade="95"/>
        <w:sz w:val="22"/>
      </w:rPr>
      <w:pPr>
        <w:pBdr/>
        <w:spacing/>
        <w:ind/>
      </w:pPr>
      <w:tblPr>
        <w:tblBorders/>
      </w:tblPr>
      <w:tcPr>
        <w:tcBorders/>
      </w:tcPr>
    </w:tblStylePr>
  </w:style>
  <w:style w:type="table" w:styleId="111">
    <w:name w:val="List Table 7 Colorful - Accent 2"/>
    <w:basedOn w:val="66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65215"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65215" w:themeColor="accent2" w:themeTint="97" w:themeShade="95"/>
        <w:sz w:val="22"/>
      </w:rPr>
      <w:pPr>
        <w:pBdr/>
        <w:spacing/>
        <w:ind/>
      </w:pPr>
      <w:tblPr>
        <w:tblBorders/>
      </w:tblPr>
      <w:tcPr>
        <w:tcBorders/>
      </w:tcPr>
    </w:tblStylePr>
  </w:style>
  <w:style w:type="table" w:styleId="112">
    <w:name w:val="List Table 7 Colorful - Accent 3"/>
    <w:basedOn w:val="662"/>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20862e"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20862e"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0862e"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20862e"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0862e" w:themeColor="accent3" w:themeTint="98" w:themeShade="95"/>
        <w:sz w:val="22"/>
      </w:rPr>
      <w:pPr>
        <w:pBdr/>
        <w:spacing/>
        <w:ind/>
      </w:pPr>
      <w:tblPr>
        <w:tblBorders/>
      </w:tblPr>
      <w:tcPr>
        <w:tcBorders/>
      </w:tcPr>
    </w:tblStylePr>
  </w:style>
  <w:style w:type="table" w:styleId="113">
    <w:name w:val="List Table 7 Colorful - Accent 4"/>
    <w:basedOn w:val="662"/>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a"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d8aba" w:themeColor="accent4" w:themeTint="9A" w:themeShade="95"/>
        <w:sz w:val="22"/>
      </w:rPr>
      <w:pPr>
        <w:pBdr/>
        <w:spacing/>
        <w:ind/>
      </w:pPr>
      <w:tblPr>
        <w:tblBorders/>
      </w:tblPr>
      <w:tcPr>
        <w:tcBorders/>
      </w:tcPr>
    </w:tblStylePr>
  </w:style>
  <w:style w:type="table" w:styleId="114">
    <w:name w:val="List Table 7 Colorful - Accent 5"/>
    <w:basedOn w:val="662"/>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96288a"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96288a"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6288a"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96288a"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6288a" w:themeColor="accent5" w:themeTint="9A" w:themeShade="95"/>
        <w:sz w:val="22"/>
      </w:rPr>
      <w:pPr>
        <w:pBdr/>
        <w:spacing/>
        <w:ind/>
      </w:pPr>
      <w:tblPr>
        <w:tblBorders/>
      </w:tblPr>
      <w:tcPr>
        <w:tcBorders/>
      </w:tcPr>
    </w:tblStylePr>
  </w:style>
  <w:style w:type="table" w:styleId="115">
    <w:name w:val="List Table 7 Colorful - Accent 6"/>
    <w:basedOn w:val="662"/>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47992a"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7992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7992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47992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7992a" w:themeColor="accent6" w:themeTint="98" w:themeShade="95"/>
        <w:sz w:val="22"/>
      </w:rPr>
      <w:pPr>
        <w:pBdr/>
        <w:spacing/>
        <w:ind/>
      </w:pPr>
      <w:tblPr>
        <w:tblBorders/>
      </w:tblPr>
      <w:tcPr>
        <w:tcBorders/>
      </w:tcPr>
    </w:tblStylePr>
  </w:style>
  <w:style w:type="table" w:styleId="116">
    <w:name w:val="Lined - Accent"/>
    <w:basedOn w:val="6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6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6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6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6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6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6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662"/>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662"/>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66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662"/>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662"/>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662"/>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662"/>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662"/>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66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66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66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66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66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66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8">
    <w:name w:val="Heading 1"/>
    <w:basedOn w:val="660"/>
    <w:next w:val="660"/>
    <w:link w:val="149"/>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39">
    <w:name w:val="Heading 2"/>
    <w:basedOn w:val="660"/>
    <w:next w:val="660"/>
    <w:link w:val="150"/>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0">
    <w:name w:val="Heading 3"/>
    <w:basedOn w:val="660"/>
    <w:next w:val="660"/>
    <w:link w:val="15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1">
    <w:name w:val="Heading 4"/>
    <w:basedOn w:val="660"/>
    <w:next w:val="660"/>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660"/>
    <w:next w:val="660"/>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660"/>
    <w:next w:val="660"/>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660"/>
    <w:next w:val="660"/>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660"/>
    <w:next w:val="660"/>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660"/>
    <w:next w:val="660"/>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9">
    <w:name w:val="Heading 1 Char"/>
    <w:basedOn w:val="661"/>
    <w:link w:val="138"/>
    <w:uiPriority w:val="9"/>
    <w:pPr>
      <w:pBdr/>
      <w:spacing/>
      <w:ind/>
    </w:pPr>
    <w:rPr>
      <w:rFonts w:ascii="Arial" w:hAnsi="Arial" w:eastAsia="Arial" w:cs="Arial"/>
      <w:color w:val="0f4761" w:themeColor="accent1" w:themeShade="BF"/>
      <w:sz w:val="40"/>
      <w:szCs w:val="40"/>
    </w:rPr>
  </w:style>
  <w:style w:type="character" w:styleId="150">
    <w:name w:val="Heading 2 Char"/>
    <w:basedOn w:val="661"/>
    <w:link w:val="139"/>
    <w:uiPriority w:val="9"/>
    <w:pPr>
      <w:pBdr/>
      <w:spacing/>
      <w:ind/>
    </w:pPr>
    <w:rPr>
      <w:rFonts w:ascii="Arial" w:hAnsi="Arial" w:eastAsia="Arial" w:cs="Arial"/>
      <w:color w:val="0f4761" w:themeColor="accent1" w:themeShade="BF"/>
      <w:sz w:val="32"/>
      <w:szCs w:val="32"/>
    </w:rPr>
  </w:style>
  <w:style w:type="character" w:styleId="151">
    <w:name w:val="Heading 3 Char"/>
    <w:basedOn w:val="661"/>
    <w:link w:val="140"/>
    <w:uiPriority w:val="9"/>
    <w:pPr>
      <w:pBdr/>
      <w:spacing/>
      <w:ind/>
    </w:pPr>
    <w:rPr>
      <w:rFonts w:ascii="Arial" w:hAnsi="Arial" w:eastAsia="Arial" w:cs="Arial"/>
      <w:color w:val="0f4761" w:themeColor="accent1" w:themeShade="BF"/>
      <w:sz w:val="28"/>
      <w:szCs w:val="28"/>
    </w:rPr>
  </w:style>
  <w:style w:type="character" w:styleId="152">
    <w:name w:val="Heading 4 Char"/>
    <w:basedOn w:val="661"/>
    <w:link w:val="141"/>
    <w:uiPriority w:val="9"/>
    <w:pPr>
      <w:pBdr/>
      <w:spacing/>
      <w:ind/>
    </w:pPr>
    <w:rPr>
      <w:rFonts w:ascii="Arial" w:hAnsi="Arial" w:eastAsia="Arial" w:cs="Arial"/>
      <w:i/>
      <w:iCs/>
      <w:color w:val="0f4761" w:themeColor="accent1" w:themeShade="BF"/>
    </w:rPr>
  </w:style>
  <w:style w:type="character" w:styleId="153">
    <w:name w:val="Heading 5 Char"/>
    <w:basedOn w:val="661"/>
    <w:link w:val="142"/>
    <w:uiPriority w:val="9"/>
    <w:pPr>
      <w:pBdr/>
      <w:spacing/>
      <w:ind/>
    </w:pPr>
    <w:rPr>
      <w:rFonts w:ascii="Arial" w:hAnsi="Arial" w:eastAsia="Arial" w:cs="Arial"/>
      <w:color w:val="0f4761" w:themeColor="accent1" w:themeShade="BF"/>
    </w:rPr>
  </w:style>
  <w:style w:type="character" w:styleId="154">
    <w:name w:val="Heading 6 Char"/>
    <w:basedOn w:val="661"/>
    <w:link w:val="143"/>
    <w:uiPriority w:val="9"/>
    <w:pPr>
      <w:pBdr/>
      <w:spacing/>
      <w:ind/>
    </w:pPr>
    <w:rPr>
      <w:rFonts w:ascii="Arial" w:hAnsi="Arial" w:eastAsia="Arial" w:cs="Arial"/>
      <w:i/>
      <w:iCs/>
      <w:color w:val="595959" w:themeColor="text1" w:themeTint="A6"/>
    </w:rPr>
  </w:style>
  <w:style w:type="character" w:styleId="155">
    <w:name w:val="Heading 7 Char"/>
    <w:basedOn w:val="661"/>
    <w:link w:val="144"/>
    <w:uiPriority w:val="9"/>
    <w:pPr>
      <w:pBdr/>
      <w:spacing/>
      <w:ind/>
    </w:pPr>
    <w:rPr>
      <w:rFonts w:ascii="Arial" w:hAnsi="Arial" w:eastAsia="Arial" w:cs="Arial"/>
      <w:color w:val="595959" w:themeColor="text1" w:themeTint="A6"/>
    </w:rPr>
  </w:style>
  <w:style w:type="character" w:styleId="156">
    <w:name w:val="Heading 8 Char"/>
    <w:basedOn w:val="661"/>
    <w:link w:val="145"/>
    <w:uiPriority w:val="9"/>
    <w:pPr>
      <w:pBdr/>
      <w:spacing/>
      <w:ind/>
    </w:pPr>
    <w:rPr>
      <w:rFonts w:ascii="Arial" w:hAnsi="Arial" w:eastAsia="Arial" w:cs="Arial"/>
      <w:i/>
      <w:iCs/>
      <w:color w:val="272727" w:themeColor="text1" w:themeTint="D8"/>
    </w:rPr>
  </w:style>
  <w:style w:type="character" w:styleId="157">
    <w:name w:val="Heading 9 Char"/>
    <w:basedOn w:val="661"/>
    <w:link w:val="146"/>
    <w:uiPriority w:val="9"/>
    <w:pPr>
      <w:pBdr/>
      <w:spacing/>
      <w:ind/>
    </w:pPr>
    <w:rPr>
      <w:rFonts w:ascii="Arial" w:hAnsi="Arial" w:eastAsia="Arial" w:cs="Arial"/>
      <w:i/>
      <w:iCs/>
      <w:color w:val="272727" w:themeColor="text1" w:themeTint="D8"/>
    </w:rPr>
  </w:style>
  <w:style w:type="paragraph" w:styleId="158">
    <w:name w:val="Title"/>
    <w:basedOn w:val="660"/>
    <w:next w:val="660"/>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661"/>
    <w:link w:val="158"/>
    <w:uiPriority w:val="10"/>
    <w:pPr>
      <w:pBdr/>
      <w:spacing/>
      <w:ind/>
    </w:pPr>
    <w:rPr>
      <w:rFonts w:ascii="Arial" w:hAnsi="Arial" w:eastAsia="Arial" w:cs="Arial"/>
      <w:spacing w:val="-10"/>
      <w:sz w:val="56"/>
      <w:szCs w:val="56"/>
    </w:rPr>
  </w:style>
  <w:style w:type="paragraph" w:styleId="160">
    <w:name w:val="Subtitle"/>
    <w:basedOn w:val="660"/>
    <w:next w:val="660"/>
    <w:link w:val="161"/>
    <w:uiPriority w:val="11"/>
    <w:qFormat/>
    <w:pPr>
      <w:numPr>
        <w:ilvl w:val="1"/>
      </w:numPr>
      <w:pBdr/>
      <w:spacing/>
      <w:ind/>
    </w:pPr>
    <w:rPr>
      <w:color w:val="595959" w:themeColor="text1" w:themeTint="A6"/>
      <w:spacing w:val="15"/>
      <w:sz w:val="28"/>
      <w:szCs w:val="28"/>
    </w:rPr>
  </w:style>
  <w:style w:type="character" w:styleId="161">
    <w:name w:val="Subtitle Char"/>
    <w:basedOn w:val="661"/>
    <w:link w:val="160"/>
    <w:uiPriority w:val="11"/>
    <w:pPr>
      <w:pBdr/>
      <w:spacing/>
      <w:ind/>
    </w:pPr>
    <w:rPr>
      <w:color w:val="595959" w:themeColor="text1" w:themeTint="A6"/>
      <w:spacing w:val="15"/>
      <w:sz w:val="28"/>
      <w:szCs w:val="28"/>
    </w:rPr>
  </w:style>
  <w:style w:type="paragraph" w:styleId="162">
    <w:name w:val="Quote"/>
    <w:basedOn w:val="660"/>
    <w:next w:val="660"/>
    <w:link w:val="163"/>
    <w:uiPriority w:val="29"/>
    <w:qFormat/>
    <w:pPr>
      <w:pBdr/>
      <w:spacing w:before="160"/>
      <w:ind/>
      <w:jc w:val="center"/>
    </w:pPr>
    <w:rPr>
      <w:i/>
      <w:iCs/>
      <w:color w:val="404040" w:themeColor="text1" w:themeTint="BF"/>
    </w:rPr>
  </w:style>
  <w:style w:type="character" w:styleId="163">
    <w:name w:val="Quote Char"/>
    <w:basedOn w:val="661"/>
    <w:link w:val="162"/>
    <w:uiPriority w:val="29"/>
    <w:pPr>
      <w:pBdr/>
      <w:spacing/>
      <w:ind/>
    </w:pPr>
    <w:rPr>
      <w:i/>
      <w:iCs/>
      <w:color w:val="404040" w:themeColor="text1" w:themeTint="BF"/>
    </w:rPr>
  </w:style>
  <w:style w:type="paragraph" w:styleId="164">
    <w:name w:val="List Paragraph"/>
    <w:basedOn w:val="660"/>
    <w:uiPriority w:val="34"/>
    <w:qFormat/>
    <w:pPr>
      <w:pBdr/>
      <w:spacing/>
      <w:ind w:left="720"/>
      <w:contextualSpacing w:val="true"/>
    </w:pPr>
  </w:style>
  <w:style w:type="character" w:styleId="165">
    <w:name w:val="Intense Emphasis"/>
    <w:basedOn w:val="661"/>
    <w:uiPriority w:val="21"/>
    <w:qFormat/>
    <w:pPr>
      <w:pBdr/>
      <w:spacing/>
      <w:ind/>
    </w:pPr>
    <w:rPr>
      <w:i/>
      <w:iCs/>
      <w:color w:val="0f4761" w:themeColor="accent1" w:themeShade="BF"/>
    </w:rPr>
  </w:style>
  <w:style w:type="paragraph" w:styleId="166">
    <w:name w:val="Intense Quote"/>
    <w:basedOn w:val="660"/>
    <w:next w:val="660"/>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661"/>
    <w:link w:val="166"/>
    <w:uiPriority w:val="30"/>
    <w:pPr>
      <w:pBdr/>
      <w:spacing/>
      <w:ind/>
    </w:pPr>
    <w:rPr>
      <w:i/>
      <w:iCs/>
      <w:color w:val="0f4761" w:themeColor="accent1" w:themeShade="BF"/>
    </w:rPr>
  </w:style>
  <w:style w:type="character" w:styleId="168">
    <w:name w:val="Intense Reference"/>
    <w:basedOn w:val="661"/>
    <w:uiPriority w:val="32"/>
    <w:qFormat/>
    <w:pPr>
      <w:pBdr/>
      <w:spacing/>
      <w:ind/>
    </w:pPr>
    <w:rPr>
      <w:b/>
      <w:bCs/>
      <w:smallCaps/>
      <w:color w:val="0f4761" w:themeColor="accent1" w:themeShade="BF"/>
      <w:spacing w:val="5"/>
    </w:rPr>
  </w:style>
  <w:style w:type="paragraph" w:styleId="169">
    <w:name w:val="No Spacing"/>
    <w:basedOn w:val="660"/>
    <w:uiPriority w:val="1"/>
    <w:qFormat/>
    <w:pPr>
      <w:pBdr/>
      <w:spacing w:after="0" w:line="240" w:lineRule="auto"/>
      <w:ind/>
    </w:pPr>
  </w:style>
  <w:style w:type="character" w:styleId="170">
    <w:name w:val="Subtle Emphasis"/>
    <w:basedOn w:val="661"/>
    <w:uiPriority w:val="19"/>
    <w:qFormat/>
    <w:pPr>
      <w:pBdr/>
      <w:spacing/>
      <w:ind/>
    </w:pPr>
    <w:rPr>
      <w:i/>
      <w:iCs/>
      <w:color w:val="404040" w:themeColor="text1" w:themeTint="BF"/>
    </w:rPr>
  </w:style>
  <w:style w:type="character" w:styleId="171">
    <w:name w:val="Emphasis"/>
    <w:basedOn w:val="661"/>
    <w:uiPriority w:val="20"/>
    <w:qFormat/>
    <w:pPr>
      <w:pBdr/>
      <w:spacing/>
      <w:ind/>
    </w:pPr>
    <w:rPr>
      <w:i/>
      <w:iCs/>
    </w:rPr>
  </w:style>
  <w:style w:type="character" w:styleId="172">
    <w:name w:val="Strong"/>
    <w:basedOn w:val="661"/>
    <w:uiPriority w:val="22"/>
    <w:qFormat/>
    <w:pPr>
      <w:pBdr/>
      <w:spacing/>
      <w:ind/>
    </w:pPr>
    <w:rPr>
      <w:b/>
      <w:bCs/>
    </w:rPr>
  </w:style>
  <w:style w:type="character" w:styleId="173">
    <w:name w:val="Subtle Reference"/>
    <w:basedOn w:val="661"/>
    <w:uiPriority w:val="31"/>
    <w:qFormat/>
    <w:pPr>
      <w:pBdr/>
      <w:spacing/>
      <w:ind/>
    </w:pPr>
    <w:rPr>
      <w:smallCaps/>
      <w:color w:val="5a5a5a" w:themeColor="text1" w:themeTint="A5"/>
    </w:rPr>
  </w:style>
  <w:style w:type="character" w:styleId="174">
    <w:name w:val="Book Title"/>
    <w:basedOn w:val="661"/>
    <w:uiPriority w:val="33"/>
    <w:qFormat/>
    <w:pPr>
      <w:pBdr/>
      <w:spacing/>
      <w:ind/>
    </w:pPr>
    <w:rPr>
      <w:b/>
      <w:bCs/>
      <w:i/>
      <w:iCs/>
      <w:spacing w:val="5"/>
    </w:rPr>
  </w:style>
  <w:style w:type="paragraph" w:styleId="175">
    <w:name w:val="Header"/>
    <w:basedOn w:val="660"/>
    <w:link w:val="176"/>
    <w:uiPriority w:val="99"/>
    <w:unhideWhenUsed/>
    <w:pPr>
      <w:pBdr/>
      <w:tabs>
        <w:tab w:val="center" w:leader="none" w:pos="4844"/>
        <w:tab w:val="right" w:leader="none" w:pos="9689"/>
      </w:tabs>
      <w:spacing w:after="0" w:line="240" w:lineRule="auto"/>
      <w:ind/>
    </w:pPr>
  </w:style>
  <w:style w:type="character" w:styleId="176">
    <w:name w:val="Header Char"/>
    <w:basedOn w:val="661"/>
    <w:link w:val="175"/>
    <w:uiPriority w:val="99"/>
    <w:pPr>
      <w:pBdr/>
      <w:spacing/>
      <w:ind/>
    </w:pPr>
  </w:style>
  <w:style w:type="paragraph" w:styleId="177">
    <w:name w:val="Footer"/>
    <w:basedOn w:val="660"/>
    <w:link w:val="178"/>
    <w:uiPriority w:val="99"/>
    <w:unhideWhenUsed/>
    <w:pPr>
      <w:pBdr/>
      <w:tabs>
        <w:tab w:val="center" w:leader="none" w:pos="4844"/>
        <w:tab w:val="right" w:leader="none" w:pos="9689"/>
      </w:tabs>
      <w:spacing w:after="0" w:line="240" w:lineRule="auto"/>
      <w:ind/>
    </w:pPr>
  </w:style>
  <w:style w:type="character" w:styleId="178">
    <w:name w:val="Footer Char"/>
    <w:basedOn w:val="661"/>
    <w:link w:val="177"/>
    <w:uiPriority w:val="99"/>
    <w:pPr>
      <w:pBdr/>
      <w:spacing/>
      <w:ind/>
    </w:pPr>
  </w:style>
  <w:style w:type="paragraph" w:styleId="179">
    <w:name w:val="Caption"/>
    <w:basedOn w:val="660"/>
    <w:next w:val="660"/>
    <w:uiPriority w:val="35"/>
    <w:unhideWhenUsed/>
    <w:qFormat/>
    <w:pPr>
      <w:pBdr/>
      <w:spacing w:after="200" w:line="240" w:lineRule="auto"/>
      <w:ind/>
    </w:pPr>
    <w:rPr>
      <w:i/>
      <w:iCs/>
      <w:color w:val="0e2841" w:themeColor="text2"/>
      <w:sz w:val="18"/>
      <w:szCs w:val="18"/>
    </w:rPr>
  </w:style>
  <w:style w:type="paragraph" w:styleId="180">
    <w:name w:val="footnote text"/>
    <w:basedOn w:val="660"/>
    <w:link w:val="181"/>
    <w:uiPriority w:val="99"/>
    <w:semiHidden/>
    <w:unhideWhenUsed/>
    <w:pPr>
      <w:pBdr/>
      <w:spacing w:after="0" w:line="240" w:lineRule="auto"/>
      <w:ind/>
    </w:pPr>
    <w:rPr>
      <w:sz w:val="20"/>
      <w:szCs w:val="20"/>
    </w:rPr>
  </w:style>
  <w:style w:type="character" w:styleId="181">
    <w:name w:val="Footnote Text Char"/>
    <w:basedOn w:val="661"/>
    <w:link w:val="180"/>
    <w:uiPriority w:val="99"/>
    <w:semiHidden/>
    <w:pPr>
      <w:pBdr/>
      <w:spacing/>
      <w:ind/>
    </w:pPr>
    <w:rPr>
      <w:sz w:val="20"/>
      <w:szCs w:val="20"/>
    </w:rPr>
  </w:style>
  <w:style w:type="character" w:styleId="182">
    <w:name w:val="footnote reference"/>
    <w:basedOn w:val="661"/>
    <w:uiPriority w:val="99"/>
    <w:semiHidden/>
    <w:unhideWhenUsed/>
    <w:pPr>
      <w:pBdr/>
      <w:spacing/>
      <w:ind/>
    </w:pPr>
    <w:rPr>
      <w:vertAlign w:val="superscript"/>
    </w:rPr>
  </w:style>
  <w:style w:type="paragraph" w:styleId="183">
    <w:name w:val="endnote text"/>
    <w:basedOn w:val="660"/>
    <w:link w:val="184"/>
    <w:uiPriority w:val="99"/>
    <w:semiHidden/>
    <w:unhideWhenUsed/>
    <w:pPr>
      <w:pBdr/>
      <w:spacing w:after="0" w:line="240" w:lineRule="auto"/>
      <w:ind/>
    </w:pPr>
    <w:rPr>
      <w:sz w:val="20"/>
      <w:szCs w:val="20"/>
    </w:rPr>
  </w:style>
  <w:style w:type="character" w:styleId="184">
    <w:name w:val="Endnote Text Char"/>
    <w:basedOn w:val="661"/>
    <w:link w:val="183"/>
    <w:uiPriority w:val="99"/>
    <w:semiHidden/>
    <w:pPr>
      <w:pBdr/>
      <w:spacing/>
      <w:ind/>
    </w:pPr>
    <w:rPr>
      <w:sz w:val="20"/>
      <w:szCs w:val="20"/>
    </w:rPr>
  </w:style>
  <w:style w:type="character" w:styleId="185">
    <w:name w:val="endnote reference"/>
    <w:basedOn w:val="661"/>
    <w:uiPriority w:val="99"/>
    <w:semiHidden/>
    <w:unhideWhenUsed/>
    <w:pPr>
      <w:pBdr/>
      <w:spacing/>
      <w:ind/>
    </w:pPr>
    <w:rPr>
      <w:vertAlign w:val="superscript"/>
    </w:rPr>
  </w:style>
  <w:style w:type="character" w:styleId="186">
    <w:name w:val="Hyperlink"/>
    <w:basedOn w:val="661"/>
    <w:uiPriority w:val="99"/>
    <w:unhideWhenUsed/>
    <w:pPr>
      <w:pBdr/>
      <w:spacing/>
      <w:ind/>
    </w:pPr>
    <w:rPr>
      <w:color w:val="0563c1" w:themeColor="hyperlink"/>
      <w:u w:val="single"/>
    </w:rPr>
  </w:style>
  <w:style w:type="character" w:styleId="187">
    <w:name w:val="FollowedHyperlink"/>
    <w:basedOn w:val="661"/>
    <w:uiPriority w:val="99"/>
    <w:semiHidden/>
    <w:unhideWhenUsed/>
    <w:pPr>
      <w:pBdr/>
      <w:spacing/>
      <w:ind/>
    </w:pPr>
    <w:rPr>
      <w:color w:val="954f72" w:themeColor="followedHyperlink"/>
      <w:u w:val="single"/>
    </w:rPr>
  </w:style>
  <w:style w:type="paragraph" w:styleId="188">
    <w:name w:val="toc 1"/>
    <w:basedOn w:val="660"/>
    <w:next w:val="660"/>
    <w:uiPriority w:val="39"/>
    <w:unhideWhenUsed/>
    <w:pPr>
      <w:pBdr/>
      <w:spacing w:after="100"/>
      <w:ind/>
    </w:pPr>
  </w:style>
  <w:style w:type="paragraph" w:styleId="189">
    <w:name w:val="toc 2"/>
    <w:basedOn w:val="660"/>
    <w:next w:val="660"/>
    <w:uiPriority w:val="39"/>
    <w:unhideWhenUsed/>
    <w:pPr>
      <w:pBdr/>
      <w:spacing w:after="100"/>
      <w:ind w:left="220"/>
    </w:pPr>
  </w:style>
  <w:style w:type="paragraph" w:styleId="190">
    <w:name w:val="toc 3"/>
    <w:basedOn w:val="660"/>
    <w:next w:val="660"/>
    <w:uiPriority w:val="39"/>
    <w:unhideWhenUsed/>
    <w:pPr>
      <w:pBdr/>
      <w:spacing w:after="100"/>
      <w:ind w:left="440"/>
    </w:pPr>
  </w:style>
  <w:style w:type="paragraph" w:styleId="191">
    <w:name w:val="toc 4"/>
    <w:basedOn w:val="660"/>
    <w:next w:val="660"/>
    <w:uiPriority w:val="39"/>
    <w:unhideWhenUsed/>
    <w:pPr>
      <w:pBdr/>
      <w:spacing w:after="100"/>
      <w:ind w:left="660"/>
    </w:pPr>
  </w:style>
  <w:style w:type="paragraph" w:styleId="192">
    <w:name w:val="toc 5"/>
    <w:basedOn w:val="660"/>
    <w:next w:val="660"/>
    <w:uiPriority w:val="39"/>
    <w:unhideWhenUsed/>
    <w:pPr>
      <w:pBdr/>
      <w:spacing w:after="100"/>
      <w:ind w:left="880"/>
    </w:pPr>
  </w:style>
  <w:style w:type="paragraph" w:styleId="193">
    <w:name w:val="toc 6"/>
    <w:basedOn w:val="660"/>
    <w:next w:val="660"/>
    <w:uiPriority w:val="39"/>
    <w:unhideWhenUsed/>
    <w:pPr>
      <w:pBdr/>
      <w:spacing w:after="100"/>
      <w:ind w:left="1100"/>
    </w:pPr>
  </w:style>
  <w:style w:type="paragraph" w:styleId="194">
    <w:name w:val="toc 7"/>
    <w:basedOn w:val="660"/>
    <w:next w:val="660"/>
    <w:uiPriority w:val="39"/>
    <w:unhideWhenUsed/>
    <w:pPr>
      <w:pBdr/>
      <w:spacing w:after="100"/>
      <w:ind w:left="1320"/>
    </w:pPr>
  </w:style>
  <w:style w:type="paragraph" w:styleId="195">
    <w:name w:val="toc 8"/>
    <w:basedOn w:val="660"/>
    <w:next w:val="660"/>
    <w:uiPriority w:val="39"/>
    <w:unhideWhenUsed/>
    <w:pPr>
      <w:pBdr/>
      <w:spacing w:after="100"/>
      <w:ind w:left="1540"/>
    </w:pPr>
  </w:style>
  <w:style w:type="paragraph" w:styleId="196">
    <w:name w:val="toc 9"/>
    <w:basedOn w:val="660"/>
    <w:next w:val="660"/>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660"/>
    <w:next w:val="660"/>
    <w:uiPriority w:val="99"/>
    <w:unhideWhenUsed/>
    <w:pPr>
      <w:pBdr/>
      <w:spacing w:after="0" w:afterAutospacing="0"/>
      <w:ind/>
    </w:pPr>
  </w:style>
  <w:style w:type="paragraph" w:styleId="660" w:default="1">
    <w:name w:val="Normal"/>
    <w:qFormat/>
    <w:pPr>
      <w:pBdr/>
      <w:spacing w:line="259" w:lineRule="auto"/>
      <w:ind/>
    </w:pPr>
    <w:rPr>
      <w:rFonts w:ascii="Calibri" w:hAnsi="Calibri" w:eastAsia="Calibri" w:cs="Calibri"/>
      <w:color w:val="000000"/>
      <w:sz w:val="22"/>
    </w:rPr>
  </w:style>
  <w:style w:type="character" w:styleId="661" w:default="1">
    <w:name w:val="Default Paragraph Font"/>
    <w:uiPriority w:val="1"/>
    <w:semiHidden/>
    <w:unhideWhenUsed/>
    <w:pPr>
      <w:pBdr/>
      <w:spacing/>
      <w:ind/>
    </w:pPr>
  </w:style>
  <w:style w:type="table" w:styleId="662"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63" w:default="1">
    <w:name w:val="No List"/>
    <w:uiPriority w:val="99"/>
    <w:semiHidden/>
    <w:unhideWhenUsed/>
    <w:pPr>
      <w:pBdr/>
      <w:spacing/>
      <w:ind/>
    </w:pPr>
  </w:style>
  <w:style w:type="table" w:styleId="664" w:customStyle="1">
    <w:name w:val="Table Grid"/>
    <w:pPr>
      <w:pBdr/>
      <w:spacing w:after="0" w:line="240" w:lineRule="auto"/>
      <w:ind/>
    </w:p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E08659-3F17-435D-B870-E8A285460E38}">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ADA3B9FC-A6BA-4D14-9E4A-651C882C91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7E9FFA-C976-4067-9C8D-7BD71A9C94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dc:creator>
  <cp:keywords/>
  <cp:lastModifiedBy>Qaiser Rehman</cp:lastModifiedBy>
  <cp:revision>4</cp:revision>
  <dcterms:created xsi:type="dcterms:W3CDTF">2025-02-06T17:53:00Z</dcterms:created>
  <dcterms:modified xsi:type="dcterms:W3CDTF">2025-07-01T18:06:20Z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