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line="23" w:lineRule="atLeast"/>
        <w:ind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Purpose of Contrast Agents and Media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line="23" w:lineRule="atLeast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Describe administering contrast media via appropriate route.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 of Administering Contrast Agents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Expand collapsible organs.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Provide an outline of the surrounding tissues.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Enhance the presentation of the organ or blood vessel, as contrast agents attenuate x-rays thus causing the organ or vessel to “stand out”. 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Differentiate closely located organs that are similar in composition. Tissues similar in composition will attenuate or absorb x-rays the same; contrast agents distinguish these organs or tissues from each other (e.g., kidney and liver).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6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Every contrast agent will come with an information sheet indicating the content, strength, contraindications and precautions.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24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Characteristics </w:t>
      </w:r>
      <w:r>
        <w:rPr>
          <w:rFonts w:ascii="Futura PT Book" w:hAnsi="Futura PT Book"/>
          <w:sz w:val="24"/>
          <w:szCs w:val="24"/>
        </w:rPr>
        <w:t xml:space="preserve">of contrast media: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360" w:line="288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Negative/Positive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360" w:line="288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Ionic/Non-ionic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360" w:line="288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Water soluble/Non-water soluble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Routes </w:t>
      </w:r>
      <w:r>
        <w:rPr>
          <w:rFonts w:ascii="Futura PT Book" w:hAnsi="Futura PT Book"/>
          <w:sz w:val="24"/>
          <w:szCs w:val="24"/>
        </w:rPr>
        <w:t xml:space="preserve">used to administer contrast agents</w:t>
      </w:r>
      <w:r>
        <w:rPr>
          <w:rFonts w:ascii="Futura PT Book" w:hAnsi="Futura PT Book"/>
          <w:b/>
          <w:sz w:val="24"/>
          <w:szCs w:val="24"/>
        </w:rPr>
        <w:t xml:space="preserve">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Oral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Rectal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Intravenous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Intra-arterial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Intrathecal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Intra-articular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X-ray procedures that require a parenteral-route injection must have an </w:t>
      </w:r>
      <w:r>
        <w:rPr>
          <w:rFonts w:ascii="Futura PT Book" w:hAnsi="Futura PT Book"/>
          <w:b/>
          <w:sz w:val="24"/>
          <w:szCs w:val="24"/>
        </w:rPr>
        <w:t xml:space="preserve">informed</w:t>
      </w:r>
      <w:r>
        <w:rPr>
          <w:rFonts w:ascii="Futura PT Book" w:hAnsi="Futura PT Book"/>
          <w:sz w:val="24"/>
          <w:szCs w:val="24"/>
        </w:rPr>
        <w:t xml:space="preserve"> consent. Some procedures require </w:t>
      </w:r>
      <w:r>
        <w:rPr>
          <w:rFonts w:ascii="Futura PT Book" w:hAnsi="Futura PT Book"/>
          <w:sz w:val="24"/>
          <w:szCs w:val="24"/>
        </w:rPr>
        <w:t xml:space="preserve">a “standard/general consent form”, while other procedures require a “contrast consent form”. Both a standard/general consent form and a contrast consent form require the patient’s signature, because parenteral-route injections have risks and complications.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Intrathecal (subarachnoid space) – requires a “standard/general consent form”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Intra-articular (into a joint space) – requires a “standard/general consent form”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Intravenous (into a vein) – requires a “contrast consent form”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240" w:line="28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Intra-arterial (into an artery) – requires a “contrast consent form”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3"/>
  </w:num>
  <w:num w:numId="5">
    <w:abstractNumId w:val="4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98B5B4-A7F0-49E9-B2A8-CF1180ECE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785C1A-9DCB-43FD-90AB-49CC26F8EF7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FD48B1E-4355-498E-ADBA-2D4906372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2024-04-10T17:07:00Z</dcterms:created>
  <dcterms:modified xsi:type="dcterms:W3CDTF">2025-06-30T18:44:03Z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