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tbl>
      <w:tblPr>
        <w:tblStyle w:val="710"/>
        <w:tblpPr w:horzAnchor="margin" w:tblpXSpec="left" w:vertAnchor="margin" w:tblpY="750" w:leftFromText="180" w:topFromText="0" w:rightFromText="180" w:bottomFromText="0"/>
        <w:tblW w:w="15205" w:type="dxa"/>
        <w:tblBorders/>
        <w:tblLayout w:type="fixed"/>
        <w:tblLook w:val="04A0" w:firstRow="1" w:lastRow="0" w:firstColumn="1" w:lastColumn="0" w:noHBand="0" w:noVBand="1"/>
      </w:tblPr>
      <w:tblGrid>
        <w:gridCol w:w="1701"/>
        <w:gridCol w:w="3402"/>
        <w:gridCol w:w="3195"/>
        <w:gridCol w:w="3870"/>
        <w:gridCol w:w="3024"/>
        <w:gridCol w:w="13"/>
      </w:tblGrid>
      <w:tr>
        <w:trPr>
          <w:trHeight w:val="1360" w:hRule="exact"/>
        </w:trPr>
        <w:tc>
          <w:tcPr>
            <w:gridSpan w:val="6"/>
            <w:tcBorders/>
            <w:tcW w:w="15205" w:type="dxa"/>
            <w:textDirection w:val="lrTb"/>
            <w:noWrap w:val="false"/>
          </w:tcPr>
          <w:p>
            <w:pPr>
              <w:pBdr/>
              <w:spacing/>
              <w:ind/>
              <w:rPr>
                <w:sz w:val="40"/>
                <w:szCs w:val="40"/>
              </w:rPr>
            </w:pPr>
            <w:r>
              <w:rPr>
                <w:sz w:val="40"/>
                <w:szCs w:val="40"/>
              </w:rPr>
              <w:t xml:space="preserve">GI Study Chart</w:t>
            </w:r>
            <w:r>
              <w:rPr>
                <w:sz w:val="40"/>
                <w:szCs w:val="40"/>
              </w:rPr>
              <w:t xml:space="preserve"> – Chapter </w:t>
            </w:r>
            <w:r>
              <w:rPr>
                <w:sz w:val="40"/>
                <w:szCs w:val="40"/>
              </w:rPr>
              <w:t xml:space="preserve">5</w:t>
            </w:r>
            <w:r>
              <w:rPr>
                <w:sz w:val="40"/>
                <w:szCs w:val="40"/>
              </w:rPr>
            </w:r>
          </w:p>
          <w:p>
            <w:pPr>
              <w:pBdr/>
              <w:spacing/>
              <w:ind/>
              <w:rPr/>
            </w:pPr>
            <w:r>
              <w:t xml:space="preserve">Referenced from ANPH 252 course textbooks:</w:t>
            </w:r>
            <w:r/>
          </w:p>
          <w:p>
            <w:pPr>
              <w:pBdr/>
              <w:spacing/>
              <w:ind/>
              <w:rPr/>
            </w:pPr>
            <w:r>
              <w:t xml:space="preserve">Eisenberg, R. L. and Johnson, N. L. Comprehensive Radiographic Pathology</w:t>
            </w:r>
            <w:r>
              <w:t xml:space="preserve">.</w:t>
            </w:r>
            <w:r>
              <w:t xml:space="preserve">  St. Louis, MO: Elsevier</w:t>
            </w:r>
            <w:r/>
          </w:p>
          <w:p>
            <w:pPr>
              <w:pBdr/>
              <w:spacing/>
              <w:ind/>
              <w:rPr/>
            </w:pPr>
            <w:r>
              <w:t xml:space="preserve">Patton, K. T. and Thibodeau, G.A.  The Human Body in Health and Disease</w:t>
            </w:r>
            <w:r>
              <w:t xml:space="preserve">.</w:t>
            </w:r>
            <w:r>
              <w:t xml:space="preserve"> Maryland Heights, MO: Elsevier</w:t>
            </w:r>
            <w:r/>
          </w:p>
        </w:tc>
      </w:tr>
      <w:tr>
        <w:trPr>
          <w:gridAfter w:val="1"/>
          <w:trHeight w:val="2698" w:hRule="exact"/>
        </w:trPr>
        <w:tc>
          <w:tcPr>
            <w:tcBorders/>
            <w:tcW w:w="1701" w:type="dxa"/>
            <w:textDirection w:val="lrTb"/>
            <w:noWrap w:val="false"/>
          </w:tcPr>
          <w:p>
            <w:pPr>
              <w:pBdr/>
              <w:spacing/>
              <w:ind/>
              <w:rPr>
                <w:rFonts w:cs="Arial"/>
                <w:b/>
                <w:bCs/>
                <w:sz w:val="20"/>
                <w:szCs w:val="20"/>
              </w:rPr>
            </w:pPr>
            <w:r>
              <w:rPr>
                <w:rFonts w:cs="Arial"/>
                <w:b/>
                <w:bCs/>
                <w:sz w:val="20"/>
                <w:szCs w:val="20"/>
              </w:rPr>
              <w:t xml:space="preserve">Esophageal Atresia</w:t>
            </w:r>
            <w:r>
              <w:rPr>
                <w:rFonts w:cs="Arial"/>
                <w:b/>
                <w:bCs/>
                <w:sz w:val="20"/>
                <w:szCs w:val="20"/>
              </w:rPr>
              <w:t xml:space="preserve"> and Tracheo-esophageal fistula (TE)</w:t>
            </w:r>
            <w:r>
              <w:rPr>
                <w:rFonts w:cs="Arial"/>
                <w:b/>
                <w:bCs/>
                <w:sz w:val="20"/>
                <w:szCs w:val="20"/>
              </w:rPr>
            </w:r>
          </w:p>
          <w:p>
            <w:pPr>
              <w:pBdr/>
              <w:spacing/>
              <w:ind/>
              <w:rPr>
                <w:rFonts w:cs="Arial"/>
                <w:sz w:val="20"/>
                <w:szCs w:val="20"/>
              </w:rPr>
            </w:pPr>
            <w:r>
              <w:rPr>
                <w:rFonts w:cs="Arial"/>
                <w:sz w:val="20"/>
                <w:szCs w:val="20"/>
              </w:rPr>
            </w:r>
            <w:r>
              <w:rPr>
                <w:rFonts w:cs="Arial"/>
                <w:sz w:val="20"/>
                <w:szCs w:val="20"/>
              </w:rPr>
            </w:r>
          </w:p>
        </w:tc>
        <w:tc>
          <w:tcPr>
            <w:tcBorders/>
            <w:tcW w:w="3402" w:type="dxa"/>
            <w:textDirection w:val="lrTb"/>
            <w:noWrap w:val="false"/>
          </w:tcPr>
          <w:p>
            <w:pPr>
              <w:pBdr/>
              <w:spacing/>
              <w:ind/>
              <w:rPr>
                <w:rFonts w:cs="Arial"/>
                <w:sz w:val="20"/>
                <w:szCs w:val="20"/>
              </w:rPr>
            </w:pPr>
            <w:r>
              <w:rPr>
                <w:rFonts w:cs="Arial"/>
                <w:b/>
                <w:bCs/>
                <w:sz w:val="20"/>
                <w:szCs w:val="20"/>
              </w:rPr>
              <w:t xml:space="preserve">What is it? </w:t>
            </w:r>
            <w:r>
              <w:rPr>
                <w:rFonts w:cs="Arial"/>
                <w:bCs/>
                <w:sz w:val="20"/>
                <w:szCs w:val="20"/>
              </w:rPr>
              <w:t xml:space="preserve">In congenital cases </w:t>
            </w:r>
            <w:r>
              <w:rPr>
                <w:rFonts w:cs="Arial"/>
                <w:bCs/>
                <w:sz w:val="20"/>
                <w:szCs w:val="20"/>
              </w:rPr>
              <w:t xml:space="preserve">the</w:t>
            </w:r>
            <w:r>
              <w:rPr>
                <w:rFonts w:cs="Arial"/>
                <w:b/>
                <w:bCs/>
                <w:sz w:val="20"/>
                <w:szCs w:val="20"/>
              </w:rPr>
              <w:t xml:space="preserve"> </w:t>
            </w:r>
            <w:r>
              <w:rPr>
                <w:rFonts w:cs="Arial"/>
                <w:sz w:val="20"/>
                <w:szCs w:val="20"/>
              </w:rPr>
              <w:t xml:space="preserve">esophagus</w:t>
            </w:r>
            <w:r>
              <w:rPr>
                <w:rFonts w:cs="Arial"/>
                <w:sz w:val="20"/>
                <w:szCs w:val="20"/>
              </w:rPr>
              <w:t xml:space="preserve"> </w:t>
            </w:r>
            <w:r>
              <w:rPr>
                <w:rFonts w:cs="Arial"/>
                <w:sz w:val="20"/>
                <w:szCs w:val="20"/>
              </w:rPr>
              <w:t xml:space="preserve">has </w:t>
            </w:r>
            <w:r>
              <w:rPr>
                <w:rFonts w:cs="Arial"/>
                <w:sz w:val="20"/>
                <w:szCs w:val="20"/>
              </w:rPr>
              <w:t xml:space="preserve">formed </w:t>
            </w:r>
            <w:r>
              <w:rPr>
                <w:rFonts w:cs="Arial"/>
                <w:sz w:val="20"/>
                <w:szCs w:val="20"/>
              </w:rPr>
              <w:t xml:space="preserve">with</w:t>
            </w:r>
            <w:r>
              <w:rPr>
                <w:rFonts w:cs="Arial"/>
                <w:sz w:val="20"/>
                <w:szCs w:val="20"/>
              </w:rPr>
              <w:t xml:space="preserve"> two </w:t>
            </w:r>
            <w:r>
              <w:rPr>
                <w:rFonts w:cs="Arial"/>
                <w:sz w:val="20"/>
                <w:szCs w:val="20"/>
              </w:rPr>
              <w:t xml:space="preserve">blind ends (atresias)</w:t>
            </w:r>
            <w:r>
              <w:rPr>
                <w:rFonts w:cs="Arial"/>
                <w:sz w:val="20"/>
                <w:szCs w:val="20"/>
              </w:rPr>
              <w:t xml:space="preserve"> with space between them. Baby cannot swallow saliva</w:t>
            </w:r>
            <w:r>
              <w:rPr>
                <w:rFonts w:cs="Arial"/>
                <w:sz w:val="20"/>
                <w:szCs w:val="20"/>
              </w:rPr>
              <w:t xml:space="preserve">.  With TE there are abnormal passage </w:t>
            </w:r>
            <w:r>
              <w:rPr>
                <w:rFonts w:cs="Arial"/>
                <w:sz w:val="20"/>
                <w:szCs w:val="20"/>
              </w:rPr>
              <w:t xml:space="preserve">ways between</w:t>
            </w:r>
            <w:r>
              <w:rPr>
                <w:rFonts w:cs="Arial"/>
                <w:sz w:val="20"/>
                <w:szCs w:val="20"/>
              </w:rPr>
              <w:t xml:space="preserve"> the esophagus and t</w:t>
            </w:r>
            <w:r>
              <w:rPr>
                <w:rFonts w:cs="Arial"/>
                <w:sz w:val="20"/>
                <w:szCs w:val="20"/>
              </w:rPr>
              <w:t xml:space="preserve">rachea. May </w:t>
            </w:r>
            <w:r>
              <w:rPr>
                <w:rFonts w:cs="Arial"/>
                <w:sz w:val="20"/>
                <w:szCs w:val="20"/>
              </w:rPr>
              <w:t xml:space="preserve">also </w:t>
            </w:r>
            <w:r>
              <w:rPr>
                <w:rFonts w:cs="Arial"/>
                <w:sz w:val="20"/>
                <w:szCs w:val="20"/>
              </w:rPr>
              <w:t xml:space="preserve">be </w:t>
            </w:r>
            <w:r>
              <w:rPr>
                <w:rFonts w:cs="Arial"/>
                <w:sz w:val="20"/>
                <w:szCs w:val="20"/>
              </w:rPr>
              <w:t xml:space="preserve">acquired as an adult by </w:t>
            </w:r>
            <w:r>
              <w:rPr>
                <w:rFonts w:cs="Arial"/>
                <w:sz w:val="20"/>
                <w:szCs w:val="20"/>
              </w:rPr>
              <w:t xml:space="preserve">trauma, infection or cancer</w:t>
            </w:r>
            <w:r>
              <w:rPr>
                <w:rFonts w:cs="Arial"/>
                <w:sz w:val="20"/>
                <w:szCs w:val="20"/>
              </w:rPr>
              <w:t xml:space="preserve">.</w:t>
            </w:r>
            <w:r>
              <w:rPr>
                <w:rFonts w:cs="Arial"/>
                <w:sz w:val="20"/>
                <w:szCs w:val="20"/>
              </w:rPr>
              <w:t xml:space="preserve"> Surgery is required. </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195" w:type="dxa"/>
            <w:textDirection w:val="lrTb"/>
            <w:noWrap w:val="false"/>
          </w:tcPr>
          <w:p>
            <w:pPr>
              <w:pBdr/>
              <w:spacing/>
              <w:ind/>
              <w:rPr>
                <w:rFonts w:cs="Arial"/>
                <w:sz w:val="20"/>
                <w:szCs w:val="20"/>
              </w:rPr>
            </w:pPr>
            <w:r>
              <w:rPr>
                <w:rFonts w:cs="Arial"/>
                <w:b/>
                <w:bCs/>
                <w:sz w:val="20"/>
                <w:szCs w:val="20"/>
              </w:rPr>
              <w:t xml:space="preserve">Symptoms/Complications: </w:t>
            </w:r>
            <w:r>
              <w:rPr>
                <w:rFonts w:cs="Arial"/>
                <w:sz w:val="20"/>
                <w:szCs w:val="20"/>
              </w:rPr>
              <w:t xml:space="preserve">aspiration pneumonia, choking, cyanosis, inability to swallow saliva</w:t>
            </w:r>
            <w:r>
              <w:rPr>
                <w:rFonts w:cs="Arial"/>
                <w:sz w:val="20"/>
                <w:szCs w:val="20"/>
              </w:rPr>
              <w:t xml:space="preserve">. May be associated with other congenital malformations of the skeleton, CVS, or GI systems </w:t>
            </w:r>
            <w:r>
              <w:rPr>
                <w:rFonts w:cs="Arial"/>
                <w:sz w:val="20"/>
                <w:szCs w:val="20"/>
              </w:rPr>
              <w:t xml:space="preserve"> </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870" w:type="dxa"/>
            <w:textDirection w:val="lrTb"/>
            <w:noWrap w:val="false"/>
          </w:tcPr>
          <w:p>
            <w:pPr>
              <w:pBdr/>
              <w:spacing/>
              <w:ind/>
              <w:rPr>
                <w:rFonts w:cs="Arial"/>
                <w:bCs/>
                <w:sz w:val="20"/>
                <w:szCs w:val="20"/>
              </w:rPr>
            </w:pPr>
            <w:r>
              <w:rPr>
                <w:rFonts w:cs="Arial"/>
                <w:b/>
                <w:bCs/>
                <w:sz w:val="20"/>
                <w:szCs w:val="20"/>
              </w:rPr>
              <w:t xml:space="preserve">Indications</w:t>
            </w:r>
            <w:r>
              <w:rPr>
                <w:rFonts w:cs="Arial"/>
                <w:b/>
                <w:bCs/>
                <w:sz w:val="20"/>
                <w:szCs w:val="20"/>
              </w:rPr>
              <w:t xml:space="preserve">: </w:t>
            </w:r>
            <w:r>
              <w:rPr>
                <w:rFonts w:cs="Arial"/>
                <w:sz w:val="20"/>
                <w:szCs w:val="20"/>
              </w:rPr>
              <w:t xml:space="preserve">Contrast </w:t>
            </w:r>
            <w:r>
              <w:rPr>
                <w:rFonts w:cs="Arial"/>
                <w:sz w:val="20"/>
                <w:szCs w:val="20"/>
              </w:rPr>
              <w:t xml:space="preserve">eosophagram</w:t>
            </w:r>
            <w:r>
              <w:rPr>
                <w:rFonts w:cs="Arial"/>
                <w:sz w:val="20"/>
                <w:szCs w:val="20"/>
              </w:rPr>
              <w:t xml:space="preserve"> </w:t>
            </w:r>
            <w:r>
              <w:rPr>
                <w:rFonts w:cs="Arial"/>
                <w:sz w:val="20"/>
                <w:szCs w:val="20"/>
              </w:rPr>
              <w:t xml:space="preserve">is </w:t>
            </w:r>
            <w:r>
              <w:rPr>
                <w:rFonts w:cs="Arial"/>
                <w:sz w:val="20"/>
                <w:szCs w:val="20"/>
              </w:rPr>
              <w:t xml:space="preserve">contraindicated</w:t>
            </w:r>
            <w:r>
              <w:rPr>
                <w:rFonts w:cs="Arial"/>
                <w:sz w:val="20"/>
                <w:szCs w:val="20"/>
              </w:rPr>
              <w:t xml:space="preserve">.  Small radio-opaque feeding tube can be used to </w:t>
            </w:r>
            <w:r>
              <w:rPr>
                <w:rFonts w:cs="Arial"/>
                <w:sz w:val="20"/>
                <w:szCs w:val="20"/>
              </w:rPr>
              <w:t xml:space="preserve">demonstrate</w:t>
            </w:r>
            <w:r>
              <w:rPr>
                <w:rFonts w:cs="Arial"/>
                <w:sz w:val="20"/>
                <w:szCs w:val="20"/>
              </w:rPr>
              <w:t xml:space="preserve"> esophageal atresia.  Non-contrast CT is safest</w:t>
            </w:r>
            <w:r>
              <w:rPr>
                <w:rFonts w:cs="Arial"/>
                <w:b/>
                <w:sz w:val="20"/>
                <w:szCs w:val="20"/>
              </w:rPr>
              <w:t xml:space="preserve">.  </w:t>
            </w:r>
            <w:r>
              <w:rPr>
                <w:rFonts w:cs="Arial"/>
                <w:b/>
                <w:sz w:val="20"/>
                <w:szCs w:val="20"/>
              </w:rPr>
              <w:t xml:space="preserve"> </w:t>
            </w:r>
            <w:r>
              <w:rPr>
                <w:rFonts w:cs="Arial"/>
                <w:b/>
                <w:bCs/>
                <w:sz w:val="20"/>
                <w:szCs w:val="20"/>
              </w:rPr>
              <w:t xml:space="preserve"> </w:t>
            </w:r>
            <w:r>
              <w:rPr>
                <w:rFonts w:cs="Arial"/>
                <w:bCs/>
                <w:sz w:val="20"/>
                <w:szCs w:val="20"/>
              </w:rPr>
              <w:t xml:space="preserve">Abdominal radiographs can be used to show the presence or absence of air in the stomach</w:t>
            </w:r>
            <w:r>
              <w:rPr>
                <w:rFonts w:cs="Arial"/>
                <w:bCs/>
                <w:sz w:val="20"/>
                <w:szCs w:val="20"/>
              </w:rPr>
            </w:r>
          </w:p>
          <w:p>
            <w:pPr>
              <w:pBdr/>
              <w:spacing/>
              <w:ind/>
              <w:rPr>
                <w:rFonts w:cs="Arial"/>
                <w:sz w:val="20"/>
                <w:szCs w:val="20"/>
              </w:rPr>
            </w:pPr>
            <w:r>
              <w:rPr>
                <w:rFonts w:cs="Arial"/>
                <w:sz w:val="20"/>
                <w:szCs w:val="20"/>
              </w:rPr>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024" w:type="dxa"/>
            <w:textDirection w:val="lrTb"/>
            <w:noWrap w:val="false"/>
          </w:tcPr>
          <w:p>
            <w:pPr>
              <w:pBdr/>
              <w:spacing/>
              <w:ind/>
              <w:rPr>
                <w:rFonts w:cs="Arial"/>
                <w:b/>
                <w:sz w:val="20"/>
                <w:szCs w:val="20"/>
              </w:rPr>
            </w:pPr>
            <w:r>
              <w:rPr>
                <w:rFonts w:cs="Arial"/>
                <w:b/>
                <w:sz w:val="20"/>
                <w:szCs w:val="20"/>
              </w:rPr>
              <w:t xml:space="preserve">Eisenberg </w:t>
            </w:r>
            <w:r>
              <w:rPr>
                <w:rFonts w:cs="Arial"/>
                <w:b/>
                <w:sz w:val="20"/>
                <w:szCs w:val="20"/>
              </w:rPr>
              <w:t xml:space="preserve">Fig. </w:t>
            </w:r>
            <w:r>
              <w:rPr>
                <w:rFonts w:cs="Arial"/>
                <w:b/>
                <w:sz w:val="20"/>
                <w:szCs w:val="20"/>
              </w:rPr>
              <w:t xml:space="preserve">5</w:t>
            </w:r>
            <w:r>
              <w:rPr>
                <w:rFonts w:cs="Arial"/>
                <w:b/>
                <w:sz w:val="20"/>
                <w:szCs w:val="20"/>
              </w:rPr>
              <w:t xml:space="preserve">-</w:t>
            </w:r>
            <w:r>
              <w:rPr>
                <w:rFonts w:cs="Arial"/>
                <w:b/>
                <w:sz w:val="20"/>
                <w:szCs w:val="20"/>
              </w:rPr>
              <w:t xml:space="preserve">5, 5-7</w:t>
            </w:r>
            <w:r>
              <w:rPr>
                <w:rFonts w:cs="Arial"/>
                <w:b/>
                <w:sz w:val="20"/>
                <w:szCs w:val="20"/>
              </w:rPr>
            </w:r>
          </w:p>
        </w:tc>
      </w:tr>
      <w:tr>
        <w:trPr>
          <w:gridAfter w:val="1"/>
          <w:trHeight w:val="2268" w:hRule="exact"/>
        </w:trPr>
        <w:tc>
          <w:tcPr>
            <w:tcBorders/>
            <w:tcW w:w="1701" w:type="dxa"/>
            <w:textDirection w:val="lrTb"/>
            <w:noWrap w:val="false"/>
          </w:tcPr>
          <w:p>
            <w:pPr>
              <w:pBdr/>
              <w:spacing/>
              <w:ind/>
              <w:rPr>
                <w:rFonts w:cs="Arial"/>
                <w:b/>
                <w:bCs/>
                <w:sz w:val="20"/>
                <w:szCs w:val="20"/>
              </w:rPr>
            </w:pPr>
            <w:r>
              <w:rPr>
                <w:rFonts w:cs="Arial"/>
                <w:b/>
                <w:bCs/>
                <w:sz w:val="20"/>
                <w:szCs w:val="20"/>
              </w:rPr>
              <w:t xml:space="preserve">Achalasia</w:t>
            </w:r>
            <w:r>
              <w:rPr>
                <w:rFonts w:cs="Arial"/>
                <w:b/>
                <w:bCs/>
                <w:sz w:val="20"/>
                <w:szCs w:val="20"/>
              </w:rPr>
            </w:r>
          </w:p>
          <w:p>
            <w:pPr>
              <w:pBdr/>
              <w:spacing/>
              <w:ind/>
              <w:rPr>
                <w:rFonts w:cs="Arial"/>
                <w:b/>
                <w:bCs/>
                <w:sz w:val="20"/>
                <w:szCs w:val="20"/>
              </w:rPr>
            </w:pPr>
            <w:r>
              <w:rPr>
                <w:rFonts w:cs="Arial"/>
                <w:b/>
                <w:bCs/>
                <w:sz w:val="20"/>
                <w:szCs w:val="20"/>
              </w:rPr>
            </w:r>
            <w:r>
              <w:rPr>
                <w:rFonts w:cs="Arial"/>
                <w:b/>
                <w:bCs/>
                <w:sz w:val="20"/>
                <w:szCs w:val="20"/>
              </w:rPr>
            </w:r>
          </w:p>
        </w:tc>
        <w:tc>
          <w:tcPr>
            <w:tcBorders/>
            <w:tcW w:w="3402" w:type="dxa"/>
            <w:textDirection w:val="lrTb"/>
            <w:noWrap w:val="false"/>
          </w:tcPr>
          <w:p>
            <w:pPr>
              <w:pBdr/>
              <w:spacing/>
              <w:ind/>
              <w:rPr>
                <w:rFonts w:cs="Arial"/>
                <w:sz w:val="20"/>
                <w:szCs w:val="20"/>
              </w:rPr>
            </w:pPr>
            <w:r>
              <w:rPr>
                <w:rFonts w:cs="Arial"/>
                <w:b/>
                <w:bCs/>
                <w:sz w:val="20"/>
                <w:szCs w:val="20"/>
              </w:rPr>
              <w:t xml:space="preserve">What is it? </w:t>
            </w:r>
            <w:r>
              <w:rPr>
                <w:rFonts w:cs="Arial"/>
                <w:sz w:val="20"/>
                <w:szCs w:val="20"/>
              </w:rPr>
              <w:t xml:space="preserve">The </w:t>
            </w:r>
            <w:r>
              <w:rPr>
                <w:rFonts w:cs="Arial"/>
                <w:sz w:val="20"/>
                <w:szCs w:val="20"/>
              </w:rPr>
              <w:t xml:space="preserve">lower </w:t>
            </w:r>
            <w:r>
              <w:rPr>
                <w:rFonts w:cs="Arial"/>
                <w:sz w:val="20"/>
                <w:szCs w:val="20"/>
              </w:rPr>
              <w:t xml:space="preserve">esophageal sphincter </w:t>
            </w:r>
            <w:r>
              <w:rPr>
                <w:rFonts w:cs="Arial"/>
                <w:sz w:val="20"/>
                <w:szCs w:val="20"/>
              </w:rPr>
              <w:t xml:space="preserve">cannot relax due to </w:t>
            </w:r>
            <w:r>
              <w:rPr>
                <w:rFonts w:cs="Arial"/>
                <w:sz w:val="20"/>
                <w:szCs w:val="20"/>
              </w:rPr>
              <w:t xml:space="preserve">compromised n</w:t>
            </w:r>
            <w:r>
              <w:rPr>
                <w:rFonts w:cs="Arial"/>
                <w:sz w:val="20"/>
                <w:szCs w:val="20"/>
              </w:rPr>
              <w:t xml:space="preserve">e</w:t>
            </w:r>
            <w:r>
              <w:rPr>
                <w:rFonts w:cs="Arial"/>
                <w:sz w:val="20"/>
                <w:szCs w:val="20"/>
              </w:rPr>
              <w:t xml:space="preserve">rvous </w:t>
            </w:r>
            <w:r>
              <w:rPr>
                <w:rFonts w:cs="Arial"/>
                <w:sz w:val="20"/>
                <w:szCs w:val="20"/>
              </w:rPr>
              <w:t xml:space="preserve">control</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195" w:type="dxa"/>
            <w:textDirection w:val="lrTb"/>
            <w:noWrap w:val="false"/>
          </w:tcPr>
          <w:p>
            <w:pPr>
              <w:pBdr/>
              <w:spacing/>
              <w:ind/>
              <w:rPr>
                <w:rFonts w:cs="Arial"/>
                <w:sz w:val="20"/>
                <w:szCs w:val="20"/>
              </w:rPr>
            </w:pPr>
            <w:r>
              <w:rPr>
                <w:rFonts w:cs="Arial"/>
                <w:b/>
                <w:bCs/>
                <w:sz w:val="20"/>
                <w:szCs w:val="20"/>
              </w:rPr>
              <w:t xml:space="preserve">Symptoms/Complications: </w:t>
            </w:r>
            <w:r>
              <w:rPr>
                <w:rFonts w:cs="Arial"/>
                <w:sz w:val="20"/>
                <w:szCs w:val="20"/>
              </w:rPr>
              <w:t xml:space="preserve">Patient complains of sternal pain and dysphagia </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870" w:type="dxa"/>
            <w:textDirection w:val="lrTb"/>
            <w:noWrap w:val="false"/>
          </w:tcPr>
          <w:p>
            <w:pPr>
              <w:pBdr/>
              <w:spacing/>
              <w:ind/>
              <w:rPr>
                <w:rFonts w:cs="Arial"/>
                <w:sz w:val="20"/>
                <w:szCs w:val="20"/>
              </w:rPr>
            </w:pPr>
            <w:r>
              <w:rPr>
                <w:rFonts w:cs="Arial"/>
                <w:b/>
                <w:bCs/>
                <w:sz w:val="20"/>
                <w:szCs w:val="20"/>
              </w:rPr>
              <w:t xml:space="preserve">Radiographic indications: </w:t>
            </w:r>
            <w:r>
              <w:rPr>
                <w:rFonts w:cs="Arial"/>
                <w:sz w:val="20"/>
                <w:szCs w:val="20"/>
              </w:rPr>
              <w:t xml:space="preserve"> Dilated </w:t>
            </w:r>
            <w:r>
              <w:rPr>
                <w:rFonts w:cs="Arial"/>
                <w:sz w:val="20"/>
                <w:szCs w:val="20"/>
              </w:rPr>
              <w:t xml:space="preserve">proximal </w:t>
            </w:r>
            <w:r>
              <w:rPr>
                <w:rFonts w:cs="Arial"/>
                <w:sz w:val="20"/>
                <w:szCs w:val="20"/>
              </w:rPr>
              <w:t xml:space="preserve">esophagus with absence of peristalsis </w:t>
            </w:r>
            <w:r>
              <w:rPr>
                <w:rFonts w:cs="Arial"/>
                <w:sz w:val="20"/>
                <w:szCs w:val="20"/>
              </w:rPr>
              <w:t xml:space="preserve">leading to </w:t>
            </w:r>
            <w:r>
              <w:rPr>
                <w:rFonts w:cs="Arial"/>
                <w:sz w:val="20"/>
                <w:szCs w:val="20"/>
              </w:rPr>
              <w:t xml:space="preserve">“rat-tail </w:t>
            </w:r>
            <w:r>
              <w:rPr>
                <w:rFonts w:cs="Arial"/>
                <w:sz w:val="20"/>
                <w:szCs w:val="20"/>
              </w:rPr>
              <w:t xml:space="preserve">or beak-like” </w:t>
            </w:r>
            <w:r>
              <w:rPr>
                <w:rFonts w:cs="Arial"/>
                <w:sz w:val="20"/>
                <w:szCs w:val="20"/>
              </w:rPr>
              <w:t xml:space="preserve">appearance of barium</w:t>
            </w:r>
            <w:r>
              <w:rPr>
                <w:rFonts w:cs="Arial"/>
                <w:sz w:val="20"/>
                <w:szCs w:val="20"/>
              </w:rPr>
              <w:t xml:space="preserve"> on an esophagram</w:t>
            </w:r>
            <w:r>
              <w:rPr>
                <w:rFonts w:cs="Arial"/>
                <w:sz w:val="20"/>
                <w:szCs w:val="20"/>
              </w:rPr>
              <w:t xml:space="preserve">.  Treated with dilatation, medications,  botulinum toxin, or myotomy</w:t>
            </w:r>
            <w:r>
              <w:rPr>
                <w:rFonts w:cs="Arial"/>
                <w:sz w:val="20"/>
                <w:szCs w:val="20"/>
              </w:rPr>
            </w:r>
          </w:p>
        </w:tc>
        <w:tc>
          <w:tcPr>
            <w:tcBorders/>
            <w:tcW w:w="3024" w:type="dxa"/>
            <w:textDirection w:val="lrTb"/>
            <w:noWrap w:val="false"/>
          </w:tcPr>
          <w:p>
            <w:pPr>
              <w:pBdr/>
              <w:spacing/>
              <w:ind/>
              <w:rPr>
                <w:rFonts w:cs="Arial"/>
                <w:b/>
                <w:sz w:val="20"/>
                <w:szCs w:val="20"/>
              </w:rPr>
            </w:pPr>
            <w:r>
              <w:rPr>
                <w:rFonts w:cs="Arial"/>
                <w:b/>
                <w:sz w:val="20"/>
                <w:szCs w:val="20"/>
              </w:rPr>
              <w:t xml:space="preserve">Eisenberg </w:t>
            </w:r>
            <w:r>
              <w:rPr>
                <w:rFonts w:cs="Arial"/>
                <w:b/>
                <w:sz w:val="20"/>
                <w:szCs w:val="20"/>
              </w:rPr>
              <w:t xml:space="preserve">Fig. 5-</w:t>
            </w:r>
            <w:r>
              <w:rPr>
                <w:rFonts w:cs="Arial"/>
                <w:b/>
                <w:sz w:val="20"/>
                <w:szCs w:val="20"/>
              </w:rPr>
              <w:t xml:space="preserve">25</w:t>
            </w:r>
            <w:r>
              <w:rPr>
                <w:rFonts w:cs="Arial"/>
                <w:b/>
                <w:sz w:val="20"/>
                <w:szCs w:val="20"/>
              </w:rPr>
            </w:r>
          </w:p>
        </w:tc>
      </w:tr>
      <w:tr>
        <w:trPr>
          <w:gridAfter w:val="1"/>
          <w:trHeight w:val="2268" w:hRule="exact"/>
        </w:trPr>
        <w:tc>
          <w:tcPr>
            <w:tcBorders/>
            <w:tcW w:w="1701" w:type="dxa"/>
            <w:textDirection w:val="lrTb"/>
            <w:noWrap w:val="false"/>
          </w:tcPr>
          <w:p>
            <w:pPr>
              <w:pBdr/>
              <w:spacing/>
              <w:ind/>
              <w:rPr>
                <w:rFonts w:cs="Arial"/>
                <w:b/>
                <w:bCs/>
                <w:sz w:val="20"/>
                <w:szCs w:val="20"/>
              </w:rPr>
            </w:pPr>
            <w:r>
              <w:rPr>
                <w:rFonts w:cs="Arial"/>
                <w:b/>
                <w:bCs/>
                <w:sz w:val="20"/>
                <w:szCs w:val="20"/>
              </w:rPr>
              <w:t xml:space="preserve">Foreign body</w:t>
            </w:r>
            <w:r>
              <w:rPr>
                <w:rFonts w:cs="Arial"/>
                <w:b/>
                <w:bCs/>
                <w:sz w:val="20"/>
                <w:szCs w:val="20"/>
              </w:rPr>
            </w:r>
          </w:p>
        </w:tc>
        <w:tc>
          <w:tcPr>
            <w:tcBorders/>
            <w:tcW w:w="3402" w:type="dxa"/>
            <w:textDirection w:val="lrTb"/>
            <w:noWrap w:val="false"/>
          </w:tcPr>
          <w:p>
            <w:pPr>
              <w:pBdr/>
              <w:spacing/>
              <w:ind/>
              <w:rPr>
                <w:rFonts w:cs="Arial"/>
                <w:b/>
                <w:bCs/>
                <w:sz w:val="20"/>
                <w:szCs w:val="20"/>
              </w:rPr>
            </w:pPr>
            <w:r>
              <w:rPr>
                <w:rFonts w:cs="Arial"/>
                <w:b/>
                <w:bCs/>
                <w:sz w:val="20"/>
                <w:szCs w:val="20"/>
              </w:rPr>
              <w:t xml:space="preserve">What is it? </w:t>
            </w:r>
            <w:r>
              <w:rPr>
                <w:rFonts w:cs="Arial"/>
                <w:bCs/>
                <w:sz w:val="20"/>
                <w:szCs w:val="20"/>
              </w:rPr>
              <w:t xml:space="preserve">Foreign object</w:t>
            </w:r>
            <w:r>
              <w:rPr>
                <w:rFonts w:cs="Arial"/>
                <w:bCs/>
                <w:sz w:val="20"/>
                <w:szCs w:val="20"/>
              </w:rPr>
              <w:t xml:space="preserve">s</w:t>
            </w:r>
            <w:r>
              <w:rPr>
                <w:rFonts w:cs="Arial"/>
                <w:bCs/>
                <w:sz w:val="20"/>
                <w:szCs w:val="20"/>
              </w:rPr>
              <w:t xml:space="preserve"> lodged, or food impacted, most commonly  in the cervical esophagus</w:t>
            </w:r>
            <w:r>
              <w:rPr>
                <w:rFonts w:cs="Arial"/>
                <w:bCs/>
                <w:sz w:val="20"/>
                <w:szCs w:val="20"/>
              </w:rPr>
              <w:t xml:space="preserve">, but could be anywhere in the GI tract</w:t>
            </w:r>
            <w:r>
              <w:rPr>
                <w:rFonts w:cs="Arial"/>
                <w:b/>
                <w:bCs/>
                <w:sz w:val="20"/>
                <w:szCs w:val="20"/>
              </w:rPr>
            </w:r>
          </w:p>
        </w:tc>
        <w:tc>
          <w:tcPr>
            <w:tcBorders/>
            <w:tcW w:w="3195" w:type="dxa"/>
            <w:textDirection w:val="lrTb"/>
            <w:noWrap w:val="false"/>
          </w:tcPr>
          <w:p>
            <w:pPr>
              <w:pBdr/>
              <w:spacing/>
              <w:ind/>
              <w:rPr>
                <w:rFonts w:cs="Arial"/>
                <w:b/>
                <w:bCs/>
                <w:sz w:val="20"/>
                <w:szCs w:val="20"/>
              </w:rPr>
            </w:pPr>
            <w:r>
              <w:rPr>
                <w:rFonts w:cs="Arial"/>
                <w:b/>
                <w:bCs/>
                <w:sz w:val="20"/>
                <w:szCs w:val="20"/>
              </w:rPr>
              <w:t xml:space="preserve">Symptoms/Complications: </w:t>
            </w:r>
            <w:r>
              <w:rPr>
                <w:rFonts w:cs="Arial"/>
                <w:bCs/>
                <w:sz w:val="20"/>
                <w:szCs w:val="20"/>
              </w:rPr>
              <w:t xml:space="preserve">If the object is in the esophagus</w:t>
            </w:r>
            <w:r>
              <w:rPr>
                <w:rFonts w:cs="Arial"/>
                <w:b/>
                <w:bCs/>
                <w:sz w:val="20"/>
                <w:szCs w:val="20"/>
              </w:rPr>
              <w:t xml:space="preserve"> </w:t>
            </w:r>
            <w:r>
              <w:rPr>
                <w:rFonts w:cs="Arial"/>
                <w:bCs/>
                <w:sz w:val="20"/>
                <w:szCs w:val="20"/>
              </w:rPr>
              <w:t xml:space="preserve">p</w:t>
            </w:r>
            <w:r>
              <w:rPr>
                <w:rFonts w:cs="Arial"/>
                <w:bCs/>
                <w:sz w:val="20"/>
                <w:szCs w:val="20"/>
              </w:rPr>
              <w:t xml:space="preserve">atient </w:t>
            </w:r>
            <w:r>
              <w:rPr>
                <w:rFonts w:cs="Arial"/>
                <w:bCs/>
                <w:sz w:val="20"/>
                <w:szCs w:val="20"/>
              </w:rPr>
              <w:t xml:space="preserve">will not be able </w:t>
            </w:r>
            <w:r>
              <w:rPr>
                <w:rFonts w:cs="Arial"/>
                <w:bCs/>
                <w:sz w:val="20"/>
                <w:szCs w:val="20"/>
              </w:rPr>
              <w:t xml:space="preserve">to swallow</w:t>
            </w:r>
            <w:r>
              <w:rPr>
                <w:rFonts w:cs="Arial"/>
                <w:bCs/>
                <w:sz w:val="20"/>
                <w:szCs w:val="20"/>
              </w:rPr>
              <w:t xml:space="preserve"> without regurgitation.  Obstructions lasting more than 12 hours may lead to perforation.</w:t>
            </w:r>
            <w:r>
              <w:rPr>
                <w:rFonts w:cs="Arial"/>
                <w:bCs/>
                <w:sz w:val="20"/>
                <w:szCs w:val="20"/>
              </w:rPr>
              <w:t xml:space="preserve">  </w:t>
            </w:r>
            <w:r>
              <w:rPr>
                <w:rFonts w:cs="Arial"/>
                <w:b/>
                <w:bCs/>
                <w:sz w:val="20"/>
                <w:szCs w:val="20"/>
              </w:rPr>
            </w:r>
          </w:p>
        </w:tc>
        <w:tc>
          <w:tcPr>
            <w:tcBorders/>
            <w:tcW w:w="3870" w:type="dxa"/>
            <w:textDirection w:val="lrTb"/>
            <w:noWrap w:val="false"/>
          </w:tcPr>
          <w:p>
            <w:pPr>
              <w:pBdr/>
              <w:spacing/>
              <w:ind/>
              <w:rPr>
                <w:rFonts w:cs="Arial"/>
                <w:b/>
                <w:bCs/>
                <w:sz w:val="20"/>
                <w:szCs w:val="20"/>
              </w:rPr>
            </w:pPr>
            <w:r>
              <w:rPr>
                <w:rFonts w:cs="Arial"/>
                <w:b/>
                <w:bCs/>
                <w:sz w:val="20"/>
                <w:szCs w:val="20"/>
              </w:rPr>
              <w:t xml:space="preserve">Radiographic indications: </w:t>
            </w:r>
            <w:r>
              <w:rPr>
                <w:rFonts w:cs="Arial"/>
                <w:sz w:val="20"/>
                <w:szCs w:val="20"/>
              </w:rPr>
              <w:t xml:space="preserve"> Many objects are radio-opaque</w:t>
            </w:r>
            <w:r>
              <w:rPr>
                <w:rFonts w:cs="Arial"/>
                <w:sz w:val="20"/>
                <w:szCs w:val="20"/>
              </w:rPr>
              <w:t xml:space="preserve">, and can be visualized </w:t>
            </w:r>
            <w:r>
              <w:rPr>
                <w:rFonts w:cs="Arial"/>
                <w:sz w:val="20"/>
                <w:szCs w:val="20"/>
              </w:rPr>
              <w:t xml:space="preserve">with plain radiographs</w:t>
            </w:r>
            <w:r>
              <w:rPr>
                <w:rFonts w:cs="Arial"/>
                <w:sz w:val="20"/>
                <w:szCs w:val="20"/>
              </w:rPr>
              <w:t xml:space="preserve">.  Two views 90°apart must be taken to establish location. Poorly chewed food can only be demonstrated after barium is swallowed. Treated with medications, endoscopic </w:t>
            </w:r>
            <w:r>
              <w:rPr>
                <w:rFonts w:cs="Arial"/>
                <w:sz w:val="20"/>
                <w:szCs w:val="20"/>
              </w:rPr>
              <w:t xml:space="preserve">retrieval, or</w:t>
            </w:r>
            <w:r>
              <w:rPr>
                <w:rFonts w:cs="Arial"/>
                <w:sz w:val="20"/>
                <w:szCs w:val="20"/>
              </w:rPr>
              <w:t xml:space="preserve"> surgery</w:t>
            </w:r>
            <w:r>
              <w:rPr>
                <w:rFonts w:cs="Arial"/>
                <w:b/>
                <w:bCs/>
                <w:sz w:val="20"/>
                <w:szCs w:val="20"/>
              </w:rPr>
            </w:r>
          </w:p>
        </w:tc>
        <w:tc>
          <w:tcPr>
            <w:tcBorders/>
            <w:tcW w:w="3024" w:type="dxa"/>
            <w:textDirection w:val="lrTb"/>
            <w:noWrap w:val="false"/>
          </w:tcPr>
          <w:p>
            <w:pPr>
              <w:pBdr/>
              <w:spacing/>
              <w:ind/>
              <w:rPr>
                <w:rFonts w:cs="Arial"/>
                <w:b/>
                <w:sz w:val="20"/>
                <w:szCs w:val="20"/>
              </w:rPr>
            </w:pPr>
            <w:r>
              <w:rPr>
                <w:rFonts w:cs="Arial"/>
                <w:b/>
                <w:sz w:val="20"/>
                <w:szCs w:val="20"/>
              </w:rPr>
              <w:t xml:space="preserve">Eisenberg Fig. 5-26, 5-27</w:t>
            </w:r>
            <w:r>
              <w:rPr>
                <w:rFonts w:cs="Arial"/>
                <w:b/>
                <w:sz w:val="20"/>
                <w:szCs w:val="20"/>
              </w:rPr>
            </w:r>
          </w:p>
        </w:tc>
      </w:tr>
      <w:tr>
        <w:trPr>
          <w:gridAfter w:val="1"/>
          <w:trHeight w:val="2800" w:hRule="exact"/>
        </w:trPr>
        <w:tc>
          <w:tcPr>
            <w:tcBorders/>
            <w:tcW w:w="1701" w:type="dxa"/>
            <w:textDirection w:val="lrTb"/>
            <w:noWrap w:val="false"/>
          </w:tcPr>
          <w:p>
            <w:pPr>
              <w:pBdr/>
              <w:spacing/>
              <w:ind/>
              <w:rPr>
                <w:rFonts w:cs="Arial"/>
                <w:b/>
                <w:sz w:val="20"/>
                <w:szCs w:val="20"/>
              </w:rPr>
            </w:pPr>
            <w:r>
              <w:rPr>
                <w:rFonts w:cs="Arial"/>
                <w:b/>
                <w:sz w:val="20"/>
                <w:szCs w:val="20"/>
              </w:rPr>
              <w:t xml:space="preserve">GERD</w:t>
            </w:r>
            <w:r>
              <w:rPr>
                <w:rFonts w:cs="Arial"/>
                <w:b/>
                <w:sz w:val="20"/>
                <w:szCs w:val="20"/>
              </w:rPr>
            </w:r>
          </w:p>
          <w:p>
            <w:pPr>
              <w:pBdr/>
              <w:spacing/>
              <w:ind/>
              <w:rPr>
                <w:rFonts w:cs="Arial"/>
                <w:b/>
                <w:bCs/>
                <w:sz w:val="20"/>
                <w:szCs w:val="20"/>
              </w:rPr>
            </w:pPr>
            <w:r>
              <w:rPr>
                <w:rFonts w:cs="Arial"/>
                <w:b/>
                <w:bCs/>
                <w:sz w:val="20"/>
                <w:szCs w:val="20"/>
              </w:rPr>
            </w:r>
            <w:r>
              <w:rPr>
                <w:rFonts w:cs="Arial"/>
                <w:b/>
                <w:bCs/>
                <w:sz w:val="20"/>
                <w:szCs w:val="20"/>
              </w:rPr>
            </w:r>
          </w:p>
        </w:tc>
        <w:tc>
          <w:tcPr>
            <w:tcBorders/>
            <w:tcW w:w="3402" w:type="dxa"/>
            <w:textDirection w:val="lrTb"/>
            <w:noWrap w:val="false"/>
          </w:tcPr>
          <w:p>
            <w:pPr>
              <w:pBdr/>
              <w:spacing/>
              <w:ind/>
              <w:rPr>
                <w:rFonts w:cs="Arial"/>
                <w:sz w:val="20"/>
                <w:szCs w:val="20"/>
              </w:rPr>
            </w:pPr>
            <w:r>
              <w:rPr>
                <w:rFonts w:cs="Arial"/>
                <w:b/>
                <w:bCs/>
                <w:sz w:val="20"/>
                <w:szCs w:val="20"/>
              </w:rPr>
              <w:t xml:space="preserve">What is it?</w:t>
            </w:r>
            <w:r>
              <w:rPr>
                <w:rFonts w:cs="Arial"/>
                <w:sz w:val="20"/>
                <w:szCs w:val="20"/>
              </w:rPr>
              <w:t xml:space="preserve"> Gastroesophageal Reflux Disease. </w:t>
            </w:r>
            <w:r>
              <w:rPr>
                <w:rFonts w:cs="Arial"/>
                <w:sz w:val="20"/>
                <w:szCs w:val="20"/>
              </w:rPr>
              <w:t xml:space="preserve">Any disease or condition that allows retrograde flow of stomach into the distal esophagus, causing esophagitis or structural changes to tissue. May be caused by infection, radiation, ingestion of caustic agents, chocolate, caffeine, alcohol, or fatty foods</w:t>
            </w:r>
            <w:r>
              <w:rPr>
                <w:rFonts w:cs="Arial"/>
                <w:sz w:val="20"/>
                <w:szCs w:val="20"/>
              </w:rPr>
            </w:r>
          </w:p>
        </w:tc>
        <w:tc>
          <w:tcPr>
            <w:tcBorders/>
            <w:tcW w:w="3195" w:type="dxa"/>
            <w:textDirection w:val="lrTb"/>
            <w:noWrap w:val="false"/>
          </w:tcPr>
          <w:p>
            <w:pPr>
              <w:pBdr/>
              <w:spacing/>
              <w:ind/>
              <w:rPr>
                <w:rFonts w:cs="Arial"/>
                <w:sz w:val="20"/>
                <w:szCs w:val="20"/>
              </w:rPr>
            </w:pPr>
            <w:r>
              <w:rPr>
                <w:rFonts w:cs="Arial"/>
                <w:b/>
                <w:bCs/>
                <w:sz w:val="20"/>
                <w:szCs w:val="20"/>
              </w:rPr>
              <w:t xml:space="preserve">Symptoms/Complications:</w:t>
            </w:r>
            <w:r>
              <w:rPr>
                <w:rFonts w:cs="Arial"/>
                <w:sz w:val="20"/>
                <w:szCs w:val="20"/>
              </w:rPr>
              <w:t xml:space="preserve"> Acute episodes will cause inflammation of esophagus: chronic conditions can compromise peristalsis and lead to scarring, ulceration or stricture.  The main symptoms are heart burn, or chest pain that mimics heart disease </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870" w:type="dxa"/>
            <w:textDirection w:val="lrTb"/>
            <w:noWrap w:val="false"/>
          </w:tcPr>
          <w:p>
            <w:pPr>
              <w:pBdr/>
              <w:spacing/>
              <w:ind/>
              <w:rPr>
                <w:rFonts w:cs="Arial"/>
                <w:sz w:val="20"/>
                <w:szCs w:val="20"/>
              </w:rPr>
            </w:pPr>
            <w:r>
              <w:rPr>
                <w:rFonts w:cs="Arial"/>
                <w:b/>
                <w:bCs/>
                <w:sz w:val="20"/>
                <w:szCs w:val="20"/>
              </w:rPr>
              <w:t xml:space="preserve">Radiographic indications: </w:t>
            </w:r>
            <w:r>
              <w:rPr>
                <w:rFonts w:cs="Arial"/>
                <w:sz w:val="20"/>
                <w:szCs w:val="20"/>
              </w:rPr>
              <w:t xml:space="preserve">Barium </w:t>
            </w:r>
            <w:r>
              <w:rPr>
                <w:rFonts w:cs="Arial"/>
                <w:sz w:val="20"/>
                <w:szCs w:val="20"/>
              </w:rPr>
              <w:t xml:space="preserve">swallow or</w:t>
            </w:r>
            <w:r>
              <w:rPr>
                <w:rFonts w:cs="Arial"/>
                <w:sz w:val="20"/>
                <w:szCs w:val="20"/>
              </w:rPr>
              <w:t xml:space="preserve"> </w:t>
            </w:r>
            <w:r>
              <w:rPr>
                <w:rFonts w:cs="Arial"/>
                <w:sz w:val="20"/>
                <w:szCs w:val="20"/>
              </w:rPr>
              <w:t xml:space="preserve">esophogram</w:t>
            </w:r>
            <w:r>
              <w:rPr>
                <w:rFonts w:cs="Arial"/>
                <w:sz w:val="20"/>
                <w:szCs w:val="20"/>
              </w:rPr>
              <w:t xml:space="preserve"> can be used </w:t>
            </w:r>
            <w:r>
              <w:rPr>
                <w:rFonts w:cs="Arial"/>
                <w:sz w:val="20"/>
                <w:szCs w:val="20"/>
              </w:rPr>
              <w:t xml:space="preserve">to diagnose</w:t>
            </w:r>
            <w:r>
              <w:rPr>
                <w:rFonts w:cs="Arial"/>
                <w:sz w:val="20"/>
                <w:szCs w:val="20"/>
              </w:rPr>
              <w:t xml:space="preserve"> gastroesophageal reflux, or strictures. Treatment involves life style changes and reduction in acid-causing foods or surgery (in extreme cases) </w:t>
            </w:r>
            <w:r>
              <w:rPr>
                <w:rFonts w:cs="Arial"/>
                <w:sz w:val="20"/>
                <w:szCs w:val="20"/>
              </w:rPr>
            </w:r>
          </w:p>
          <w:p>
            <w:pPr>
              <w:pBdr/>
              <w:spacing/>
              <w:ind/>
              <w:rPr>
                <w:rFonts w:cs="Arial"/>
                <w:b/>
                <w:bCs/>
                <w:sz w:val="20"/>
                <w:szCs w:val="20"/>
              </w:rPr>
            </w:pPr>
            <w:r>
              <w:rPr>
                <w:rFonts w:cs="Arial"/>
                <w:b/>
                <w:bCs/>
                <w:sz w:val="20"/>
                <w:szCs w:val="20"/>
              </w:rPr>
            </w:r>
            <w:r>
              <w:rPr>
                <w:rFonts w:cs="Arial"/>
                <w:b/>
                <w:bCs/>
                <w:sz w:val="20"/>
                <w:szCs w:val="20"/>
              </w:rPr>
            </w:r>
          </w:p>
          <w:p>
            <w:pPr>
              <w:pBdr/>
              <w:spacing/>
              <w:ind/>
              <w:rPr>
                <w:rFonts w:cs="Arial"/>
                <w:sz w:val="20"/>
                <w:szCs w:val="20"/>
              </w:rPr>
            </w:pPr>
            <w:r>
              <w:rPr>
                <w:rFonts w:cs="Arial"/>
                <w:sz w:val="20"/>
                <w:szCs w:val="20"/>
              </w:rPr>
            </w:r>
            <w:r>
              <w:rPr>
                <w:rFonts w:cs="Arial"/>
                <w:sz w:val="20"/>
                <w:szCs w:val="20"/>
              </w:rPr>
            </w:r>
          </w:p>
        </w:tc>
        <w:tc>
          <w:tcPr>
            <w:tcBorders/>
            <w:tcW w:w="3024" w:type="dxa"/>
            <w:textDirection w:val="lrTb"/>
            <w:noWrap w:val="false"/>
          </w:tcPr>
          <w:p>
            <w:pPr>
              <w:pBdr/>
              <w:spacing/>
              <w:ind/>
              <w:rPr>
                <w:rFonts w:cs="Arial"/>
                <w:sz w:val="20"/>
                <w:szCs w:val="20"/>
              </w:rPr>
            </w:pPr>
            <w:r>
              <w:rPr>
                <w:rFonts w:cs="Arial"/>
                <w:sz w:val="20"/>
                <w:szCs w:val="20"/>
              </w:rPr>
              <w:t xml:space="preserve">No significant image.</w:t>
            </w:r>
            <w:r>
              <w:rPr>
                <w:rFonts w:cs="Arial"/>
                <w:sz w:val="20"/>
                <w:szCs w:val="20"/>
              </w:rPr>
            </w:r>
          </w:p>
        </w:tc>
      </w:tr>
      <w:tr>
        <w:trPr>
          <w:gridAfter w:val="1"/>
          <w:trHeight w:val="2800" w:hRule="exact"/>
        </w:trPr>
        <w:tc>
          <w:tcPr>
            <w:tcBorders/>
            <w:tcW w:w="1701" w:type="dxa"/>
            <w:textDirection w:val="lrTb"/>
            <w:noWrap w:val="false"/>
          </w:tcPr>
          <w:p>
            <w:pPr>
              <w:pBdr/>
              <w:spacing/>
              <w:ind/>
              <w:rPr>
                <w:rFonts w:cs="Arial"/>
                <w:b/>
                <w:bCs/>
                <w:sz w:val="20"/>
                <w:szCs w:val="20"/>
              </w:rPr>
            </w:pPr>
            <w:r>
              <w:rPr>
                <w:rFonts w:cs="Arial"/>
                <w:b/>
                <w:bCs/>
                <w:sz w:val="20"/>
                <w:szCs w:val="20"/>
              </w:rPr>
              <w:t xml:space="preserve">Esophageal Carcinoma</w:t>
            </w:r>
            <w:r>
              <w:rPr>
                <w:rFonts w:cs="Arial"/>
                <w:b/>
                <w:bCs/>
                <w:sz w:val="20"/>
                <w:szCs w:val="20"/>
              </w:rPr>
            </w:r>
          </w:p>
          <w:p>
            <w:pPr>
              <w:pBdr/>
              <w:spacing/>
              <w:ind/>
              <w:rPr>
                <w:rFonts w:cs="Arial"/>
                <w:sz w:val="20"/>
                <w:szCs w:val="20"/>
              </w:rPr>
            </w:pPr>
            <w:r>
              <w:rPr>
                <w:rFonts w:cs="Arial"/>
                <w:sz w:val="20"/>
                <w:szCs w:val="20"/>
              </w:rPr>
            </w:r>
            <w:r>
              <w:rPr>
                <w:rFonts w:cs="Arial"/>
                <w:sz w:val="20"/>
                <w:szCs w:val="20"/>
              </w:rPr>
            </w:r>
          </w:p>
        </w:tc>
        <w:tc>
          <w:tcPr>
            <w:tcBorders/>
            <w:tcW w:w="3402" w:type="dxa"/>
            <w:textDirection w:val="lrTb"/>
            <w:noWrap w:val="false"/>
          </w:tcPr>
          <w:p>
            <w:pPr>
              <w:pBdr/>
              <w:spacing/>
              <w:ind/>
              <w:rPr>
                <w:rFonts w:cs="Arial"/>
                <w:sz w:val="20"/>
                <w:szCs w:val="20"/>
              </w:rPr>
            </w:pPr>
            <w:r>
              <w:rPr>
                <w:rFonts w:cs="Arial"/>
                <w:b/>
                <w:bCs/>
                <w:sz w:val="20"/>
                <w:szCs w:val="20"/>
              </w:rPr>
              <w:t xml:space="preserve">What is it? </w:t>
            </w:r>
            <w:r>
              <w:rPr>
                <w:rFonts w:cs="Arial"/>
                <w:sz w:val="20"/>
                <w:szCs w:val="20"/>
              </w:rPr>
              <w:t xml:space="preserve"> Pr</w:t>
            </w:r>
            <w:r>
              <w:rPr>
                <w:rFonts w:cs="Arial"/>
                <w:sz w:val="20"/>
                <w:szCs w:val="20"/>
              </w:rPr>
              <w:t xml:space="preserve">ogressive difficulty swallowing (dysphagia) in any person over 40 may indicate esophageal cancer (adenocarcinoma).  Symptoms appear late in the disease process and prognosis is poor due to high chance of metastasis. Tumors usually originate at GE junction.</w:t>
            </w:r>
            <w:r>
              <w:rPr>
                <w:rFonts w:cs="Arial"/>
                <w:sz w:val="20"/>
                <w:szCs w:val="20"/>
              </w:rPr>
            </w:r>
          </w:p>
        </w:tc>
        <w:tc>
          <w:tcPr>
            <w:tcBorders/>
            <w:tcW w:w="3195" w:type="dxa"/>
            <w:textDirection w:val="lrTb"/>
            <w:noWrap w:val="false"/>
          </w:tcPr>
          <w:p>
            <w:pPr>
              <w:pBdr/>
              <w:spacing/>
              <w:ind/>
              <w:rPr>
                <w:rFonts w:cs="Arial"/>
                <w:sz w:val="20"/>
                <w:szCs w:val="20"/>
              </w:rPr>
            </w:pPr>
            <w:r>
              <w:rPr>
                <w:rFonts w:cs="Arial"/>
                <w:b/>
                <w:bCs/>
                <w:sz w:val="20"/>
                <w:szCs w:val="20"/>
              </w:rPr>
              <w:t xml:space="preserve">Symptoms/complications:</w:t>
            </w:r>
            <w:r>
              <w:rPr>
                <w:rFonts w:cs="Arial"/>
                <w:sz w:val="20"/>
                <w:szCs w:val="20"/>
              </w:rPr>
              <w:t xml:space="preserve"> Strong correlation with excessive ETOH intake and smoking. Requires radiotherapy, chemotherapy, surgery. Mainly requires palliative care. Metastasizes via lymph or blood, liver, lung, or bone.  </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870" w:type="dxa"/>
            <w:textDirection w:val="lrTb"/>
            <w:noWrap w:val="false"/>
          </w:tcPr>
          <w:p>
            <w:pPr>
              <w:pBdr/>
              <w:spacing/>
              <w:ind/>
              <w:rPr>
                <w:rFonts w:cs="Arial"/>
                <w:sz w:val="20"/>
                <w:szCs w:val="20"/>
              </w:rPr>
            </w:pPr>
            <w:r>
              <w:rPr>
                <w:rFonts w:cs="Arial"/>
                <w:b/>
                <w:bCs/>
                <w:sz w:val="20"/>
                <w:szCs w:val="20"/>
              </w:rPr>
              <w:t xml:space="preserve">Radiographic indications: </w:t>
            </w:r>
            <w:r>
              <w:rPr>
                <w:rFonts w:cs="Arial"/>
                <w:sz w:val="20"/>
                <w:szCs w:val="20"/>
              </w:rPr>
              <w:t xml:space="preserve">ulceration, mucosal destruction, stenosis, and clear visual differen</w:t>
            </w:r>
            <w:r>
              <w:rPr>
                <w:rFonts w:cs="Arial"/>
                <w:sz w:val="20"/>
                <w:szCs w:val="20"/>
              </w:rPr>
              <w:t xml:space="preserve">ce between healthy tissue and cancerous tissue, as the disease infiltrates the mucosa. Wall thickening &gt; 3-5 mm on a CT scan is suggestive of esophageal carcinoma. Chemo and radiation therapy, or surgery are possible treatments but often care is palliative</w:t>
            </w:r>
            <w:r>
              <w:rPr>
                <w:rFonts w:cs="Arial"/>
                <w:sz w:val="20"/>
                <w:szCs w:val="20"/>
              </w:rPr>
            </w:r>
          </w:p>
        </w:tc>
        <w:tc>
          <w:tcPr>
            <w:tcBorders/>
            <w:tcW w:w="3024" w:type="dxa"/>
            <w:textDirection w:val="lrTb"/>
            <w:noWrap w:val="false"/>
          </w:tcPr>
          <w:p>
            <w:pPr>
              <w:pBdr/>
              <w:spacing/>
              <w:ind/>
              <w:rPr>
                <w:rFonts w:cs="Arial"/>
                <w:b/>
                <w:sz w:val="20"/>
                <w:szCs w:val="20"/>
              </w:rPr>
            </w:pPr>
            <w:r>
              <w:rPr>
                <w:rFonts w:cs="Arial"/>
                <w:b/>
                <w:sz w:val="20"/>
                <w:szCs w:val="20"/>
              </w:rPr>
              <w:t xml:space="preserve">Eisenberg Fig. 5-15, 5-16, 5-17</w:t>
            </w:r>
            <w:r>
              <w:rPr>
                <w:rFonts w:cs="Arial"/>
                <w:b/>
                <w:sz w:val="20"/>
                <w:szCs w:val="20"/>
              </w:rPr>
            </w:r>
          </w:p>
        </w:tc>
      </w:tr>
      <w:tr>
        <w:trPr>
          <w:gridAfter w:val="1"/>
          <w:trHeight w:val="2512" w:hRule="exact"/>
        </w:trPr>
        <w:tc>
          <w:tcPr>
            <w:tcBorders/>
            <w:tcW w:w="1701" w:type="dxa"/>
            <w:textDirection w:val="lrTb"/>
            <w:noWrap w:val="false"/>
          </w:tcPr>
          <w:p>
            <w:pPr>
              <w:pBdr/>
              <w:spacing/>
              <w:ind/>
              <w:rPr>
                <w:rFonts w:cs="Arial"/>
                <w:b/>
                <w:sz w:val="20"/>
                <w:szCs w:val="20"/>
              </w:rPr>
            </w:pPr>
            <w:r>
              <w:rPr>
                <w:rFonts w:cs="Arial"/>
                <w:b/>
                <w:sz w:val="20"/>
                <w:szCs w:val="20"/>
              </w:rPr>
              <w:t xml:space="preserve">Sliding Hiatal Hernia</w:t>
            </w:r>
            <w:r>
              <w:rPr>
                <w:rFonts w:cs="Arial"/>
                <w:b/>
                <w:sz w:val="20"/>
                <w:szCs w:val="20"/>
              </w:rPr>
            </w:r>
          </w:p>
          <w:p>
            <w:pPr>
              <w:pBdr/>
              <w:spacing/>
              <w:ind/>
              <w:rPr>
                <w:rFonts w:cs="Arial"/>
                <w:sz w:val="20"/>
                <w:szCs w:val="20"/>
              </w:rPr>
            </w:pPr>
            <w:r>
              <w:rPr>
                <w:rFonts w:cs="Arial"/>
                <w:sz w:val="20"/>
                <w:szCs w:val="20"/>
              </w:rPr>
            </w:r>
            <w:r>
              <w:rPr>
                <w:rFonts w:cs="Arial"/>
                <w:sz w:val="20"/>
                <w:szCs w:val="20"/>
              </w:rPr>
            </w:r>
          </w:p>
        </w:tc>
        <w:tc>
          <w:tcPr>
            <w:tcBorders/>
            <w:tcW w:w="3402" w:type="dxa"/>
            <w:textDirection w:val="lrTb"/>
            <w:noWrap w:val="false"/>
          </w:tcPr>
          <w:p>
            <w:pPr>
              <w:pBdr/>
              <w:spacing/>
              <w:ind/>
              <w:rPr>
                <w:rFonts w:cs="Arial"/>
                <w:sz w:val="20"/>
                <w:szCs w:val="20"/>
              </w:rPr>
            </w:pPr>
            <w:r>
              <w:rPr>
                <w:rFonts w:cs="Arial"/>
                <w:b/>
                <w:bCs/>
                <w:sz w:val="20"/>
                <w:szCs w:val="20"/>
              </w:rPr>
              <w:t xml:space="preserve">What is it?</w:t>
            </w:r>
            <w:r>
              <w:rPr>
                <w:rFonts w:cs="Arial"/>
                <w:sz w:val="20"/>
                <w:szCs w:val="20"/>
              </w:rPr>
              <w:t xml:space="preserve">  Some portion of the stomach and gastroesophageal junction moves into the chest temporarily when intra-abdominal pressure is increased. </w:t>
            </w:r>
            <w:r>
              <w:rPr>
                <w:rFonts w:cs="Arial"/>
                <w:sz w:val="20"/>
                <w:szCs w:val="20"/>
              </w:rPr>
            </w:r>
          </w:p>
          <w:p>
            <w:pPr>
              <w:pBdr/>
              <w:spacing/>
              <w:ind/>
              <w:rPr>
                <w:rFonts w:cs="Arial"/>
                <w:sz w:val="20"/>
                <w:szCs w:val="20"/>
              </w:rPr>
            </w:pPr>
            <w:r>
              <w:rPr>
                <w:rFonts w:cs="Arial"/>
                <w:sz w:val="20"/>
                <w:szCs w:val="20"/>
              </w:rPr>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195" w:type="dxa"/>
            <w:textDirection w:val="lrTb"/>
            <w:noWrap w:val="false"/>
          </w:tcPr>
          <w:p>
            <w:pPr>
              <w:pBdr/>
              <w:spacing/>
              <w:ind/>
              <w:rPr>
                <w:rFonts w:cs="Arial"/>
                <w:sz w:val="20"/>
                <w:szCs w:val="20"/>
              </w:rPr>
            </w:pPr>
            <w:r>
              <w:rPr>
                <w:rFonts w:cs="Arial"/>
                <w:b/>
                <w:bCs/>
                <w:sz w:val="20"/>
                <w:szCs w:val="20"/>
              </w:rPr>
              <w:t xml:space="preserve">Symptoms/Complications:</w:t>
            </w:r>
            <w:r>
              <w:rPr>
                <w:rFonts w:cs="Arial"/>
                <w:sz w:val="20"/>
                <w:szCs w:val="20"/>
              </w:rPr>
              <w:t xml:space="preserve">  reflux or heartburn </w:t>
            </w:r>
            <w:r>
              <w:rPr>
                <w:rFonts w:cs="Arial"/>
                <w:sz w:val="20"/>
                <w:szCs w:val="20"/>
              </w:rPr>
            </w:r>
          </w:p>
        </w:tc>
        <w:tc>
          <w:tcPr>
            <w:tcBorders/>
            <w:tcW w:w="3870" w:type="dxa"/>
            <w:textDirection w:val="lrTb"/>
            <w:noWrap w:val="false"/>
          </w:tcPr>
          <w:p>
            <w:pPr>
              <w:pBdr/>
              <w:spacing/>
              <w:ind/>
              <w:rPr>
                <w:rFonts w:cs="Arial"/>
                <w:sz w:val="20"/>
                <w:szCs w:val="20"/>
              </w:rPr>
            </w:pPr>
            <w:r>
              <w:rPr>
                <w:rFonts w:cs="Arial"/>
                <w:b/>
                <w:bCs/>
                <w:sz w:val="20"/>
                <w:szCs w:val="20"/>
              </w:rPr>
              <w:t xml:space="preserve">Radiographic indications:</w:t>
            </w:r>
            <w:r>
              <w:rPr>
                <w:rFonts w:cs="Arial"/>
                <w:sz w:val="20"/>
                <w:szCs w:val="20"/>
              </w:rPr>
              <w:t xml:space="preserve"> Upper GI will demonstrate the condition when the patient is placed in a </w:t>
            </w:r>
            <w:r>
              <w:rPr>
                <w:rFonts w:cs="Arial"/>
                <w:sz w:val="20"/>
                <w:szCs w:val="20"/>
              </w:rPr>
              <w:t xml:space="preserve">Trendelenburg</w:t>
            </w:r>
            <w:r>
              <w:rPr>
                <w:rFonts w:cs="Arial"/>
                <w:sz w:val="20"/>
                <w:szCs w:val="20"/>
              </w:rPr>
              <w:t xml:space="preserve"> position. </w:t>
            </w:r>
            <w:r>
              <w:rPr>
                <w:rFonts w:cs="Arial"/>
                <w:sz w:val="20"/>
                <w:szCs w:val="20"/>
              </w:rPr>
            </w:r>
          </w:p>
        </w:tc>
        <w:tc>
          <w:tcPr>
            <w:tcBorders/>
            <w:tcW w:w="3024" w:type="dxa"/>
            <w:textDirection w:val="lrTb"/>
            <w:noWrap w:val="false"/>
          </w:tcPr>
          <w:p>
            <w:pPr>
              <w:pBdr/>
              <w:spacing/>
              <w:ind/>
              <w:rPr>
                <w:rFonts w:cs="Arial"/>
                <w:sz w:val="20"/>
                <w:szCs w:val="20"/>
              </w:rPr>
            </w:pPr>
            <w:r>
              <w:rPr>
                <w:rFonts w:cs="Arial"/>
                <w:sz w:val="20"/>
                <w:szCs w:val="20"/>
              </w:rPr>
              <w:t xml:space="preserve">No significant image</w:t>
            </w:r>
            <w:r>
              <w:rPr>
                <w:rFonts w:cs="Arial"/>
                <w:sz w:val="20"/>
                <w:szCs w:val="20"/>
              </w:rPr>
            </w:r>
          </w:p>
        </w:tc>
      </w:tr>
      <w:tr>
        <w:trPr>
          <w:gridAfter w:val="1"/>
          <w:trHeight w:val="2512" w:hRule="exact"/>
        </w:trPr>
        <w:tc>
          <w:tcPr>
            <w:tcBorders/>
            <w:tcW w:w="1701" w:type="dxa"/>
            <w:textDirection w:val="lrTb"/>
            <w:noWrap w:val="false"/>
          </w:tcPr>
          <w:p>
            <w:pPr>
              <w:pBdr/>
              <w:spacing/>
              <w:ind/>
              <w:rPr>
                <w:rFonts w:cs="Arial"/>
                <w:b/>
                <w:sz w:val="20"/>
                <w:szCs w:val="20"/>
              </w:rPr>
            </w:pPr>
            <w:r>
              <w:rPr>
                <w:rFonts w:cs="Arial"/>
                <w:b/>
                <w:sz w:val="20"/>
                <w:szCs w:val="20"/>
              </w:rPr>
              <w:t xml:space="preserve">Rolling hiatal hernia</w:t>
            </w:r>
            <w:r>
              <w:rPr>
                <w:rFonts w:cs="Arial"/>
                <w:b/>
                <w:sz w:val="20"/>
                <w:szCs w:val="20"/>
              </w:rPr>
            </w:r>
          </w:p>
          <w:p>
            <w:pPr>
              <w:pBdr/>
              <w:spacing/>
              <w:ind/>
              <w:rPr>
                <w:rFonts w:cs="Arial"/>
                <w:b/>
                <w:sz w:val="20"/>
                <w:szCs w:val="20"/>
              </w:rPr>
            </w:pPr>
            <w:r>
              <w:rPr>
                <w:rFonts w:cs="Arial"/>
                <w:b/>
                <w:sz w:val="20"/>
                <w:szCs w:val="20"/>
              </w:rPr>
            </w:r>
            <w:r>
              <w:rPr>
                <w:rFonts w:cs="Arial"/>
                <w:b/>
                <w:sz w:val="20"/>
                <w:szCs w:val="20"/>
              </w:rPr>
            </w:r>
          </w:p>
          <w:p>
            <w:pPr>
              <w:pBdr/>
              <w:spacing/>
              <w:ind/>
              <w:rPr>
                <w:rFonts w:cs="Arial"/>
                <w:b/>
                <w:sz w:val="20"/>
                <w:szCs w:val="20"/>
              </w:rPr>
            </w:pPr>
            <w:r>
              <w:rPr>
                <w:rFonts w:cs="Arial"/>
                <w:b/>
                <w:sz w:val="20"/>
                <w:szCs w:val="20"/>
              </w:rPr>
              <w:t xml:space="preserve">Paraesophageal hernia</w:t>
            </w:r>
            <w:r>
              <w:rPr>
                <w:rFonts w:cs="Arial"/>
                <w:b/>
                <w:sz w:val="20"/>
                <w:szCs w:val="20"/>
              </w:rPr>
            </w:r>
          </w:p>
          <w:p>
            <w:pPr>
              <w:pBdr/>
              <w:spacing/>
              <w:ind/>
              <w:rPr>
                <w:rFonts w:cs="Arial"/>
                <w:sz w:val="20"/>
                <w:szCs w:val="20"/>
              </w:rPr>
            </w:pPr>
            <w:r>
              <w:rPr>
                <w:rFonts w:cs="Arial"/>
                <w:sz w:val="20"/>
                <w:szCs w:val="20"/>
              </w:rPr>
            </w:r>
            <w:r>
              <w:rPr>
                <w:rFonts w:cs="Arial"/>
                <w:sz w:val="20"/>
                <w:szCs w:val="20"/>
              </w:rPr>
            </w:r>
          </w:p>
        </w:tc>
        <w:tc>
          <w:tcPr>
            <w:tcBorders/>
            <w:tcW w:w="3402" w:type="dxa"/>
            <w:textDirection w:val="lrTb"/>
            <w:noWrap w:val="false"/>
          </w:tcPr>
          <w:p>
            <w:pPr>
              <w:pBdr/>
              <w:spacing/>
              <w:ind/>
              <w:rPr>
                <w:rFonts w:cs="Arial"/>
                <w:sz w:val="20"/>
                <w:szCs w:val="20"/>
              </w:rPr>
            </w:pPr>
            <w:r>
              <w:rPr>
                <w:rFonts w:cs="Arial"/>
                <w:b/>
                <w:bCs/>
                <w:sz w:val="20"/>
                <w:szCs w:val="20"/>
              </w:rPr>
              <w:t xml:space="preserve">What is it?</w:t>
            </w:r>
            <w:r>
              <w:rPr>
                <w:rFonts w:cs="Arial"/>
                <w:bCs/>
                <w:sz w:val="20"/>
                <w:szCs w:val="20"/>
              </w:rPr>
              <w:t xml:space="preserve"> </w:t>
            </w:r>
            <w:r>
              <w:rPr>
                <w:rFonts w:cs="Arial"/>
                <w:sz w:val="20"/>
                <w:szCs w:val="20"/>
              </w:rPr>
              <w:t xml:space="preserve">Part or all of the stomach pushing up into the thoracic cavity through a defect in the diaphragm. The gastro-esophageal sphincter stays below the diaphragm ( ~20% of hernias) </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195" w:type="dxa"/>
            <w:textDirection w:val="lrTb"/>
            <w:noWrap w:val="false"/>
          </w:tcPr>
          <w:p>
            <w:pPr>
              <w:pBdr/>
              <w:spacing/>
              <w:ind/>
              <w:rPr>
                <w:rFonts w:cs="Arial"/>
                <w:sz w:val="20"/>
                <w:szCs w:val="20"/>
              </w:rPr>
            </w:pPr>
            <w:r>
              <w:rPr>
                <w:rFonts w:cs="Arial"/>
                <w:b/>
                <w:bCs/>
                <w:sz w:val="20"/>
                <w:szCs w:val="20"/>
              </w:rPr>
              <w:t xml:space="preserve">Symptoms/Complications:</w:t>
            </w:r>
            <w:r>
              <w:rPr>
                <w:rFonts w:cs="Arial"/>
                <w:sz w:val="20"/>
                <w:szCs w:val="20"/>
              </w:rPr>
              <w:t xml:space="preserve"> may cause volvulus, esophagitis, esophageal ulcers or strictures but main symptoms are related to reflux. Most hernias are not clinically significant and produce no symptoms.  </w:t>
            </w:r>
            <w:r>
              <w:rPr>
                <w:rFonts w:cs="Arial"/>
                <w:sz w:val="20"/>
                <w:szCs w:val="20"/>
              </w:rPr>
            </w:r>
          </w:p>
        </w:tc>
        <w:tc>
          <w:tcPr>
            <w:tcBorders/>
            <w:tcW w:w="3870" w:type="dxa"/>
            <w:textDirection w:val="lrTb"/>
            <w:noWrap w:val="false"/>
          </w:tcPr>
          <w:p>
            <w:pPr>
              <w:pBdr/>
              <w:spacing/>
              <w:ind/>
              <w:rPr>
                <w:rFonts w:cs="Arial"/>
                <w:sz w:val="20"/>
                <w:szCs w:val="20"/>
              </w:rPr>
            </w:pPr>
            <w:r>
              <w:rPr>
                <w:rFonts w:cs="Arial"/>
                <w:b/>
                <w:bCs/>
                <w:sz w:val="20"/>
                <w:szCs w:val="20"/>
              </w:rPr>
              <w:t xml:space="preserve">Radiographic indications: </w:t>
            </w:r>
            <w:r>
              <w:rPr>
                <w:rFonts w:cs="Arial"/>
                <w:sz w:val="20"/>
                <w:szCs w:val="20"/>
              </w:rPr>
              <w:t xml:space="preserve">diagnosed with chest x-ray or upper GI.  Severe cases may need laparoscopic (‘keyhole’) surgery, to push stomach back into correct position, secure it, and repair any gap in the diaphragm. </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024" w:type="dxa"/>
            <w:textDirection w:val="lrTb"/>
            <w:noWrap w:val="false"/>
          </w:tcPr>
          <w:p>
            <w:pPr>
              <w:pBdr/>
              <w:spacing/>
              <w:ind/>
              <w:rPr>
                <w:rFonts w:cs="Arial"/>
                <w:sz w:val="20"/>
                <w:szCs w:val="20"/>
              </w:rPr>
            </w:pPr>
            <w:r>
              <w:rPr>
                <w:rFonts w:cs="Arial"/>
                <w:sz w:val="20"/>
                <w:szCs w:val="20"/>
              </w:rPr>
              <w:t xml:space="preserve">No significant image</w:t>
            </w:r>
            <w:r>
              <w:rPr>
                <w:rFonts w:cs="Arial"/>
                <w:sz w:val="20"/>
                <w:szCs w:val="20"/>
              </w:rPr>
            </w:r>
          </w:p>
        </w:tc>
      </w:tr>
      <w:tr>
        <w:trPr>
          <w:gridAfter w:val="1"/>
          <w:trHeight w:val="2268" w:hRule="exact"/>
        </w:trPr>
        <w:tc>
          <w:tcPr>
            <w:tcBorders/>
            <w:tcW w:w="1701" w:type="dxa"/>
            <w:textDirection w:val="lrTb"/>
            <w:noWrap w:val="false"/>
          </w:tcPr>
          <w:p>
            <w:pPr>
              <w:pBdr/>
              <w:spacing/>
              <w:ind/>
              <w:rPr>
                <w:rFonts w:cs="Arial"/>
                <w:b/>
                <w:bCs/>
                <w:sz w:val="20"/>
                <w:szCs w:val="20"/>
              </w:rPr>
            </w:pPr>
            <w:r>
              <w:rPr>
                <w:rFonts w:cs="Arial"/>
                <w:b/>
                <w:bCs/>
                <w:sz w:val="20"/>
                <w:szCs w:val="20"/>
              </w:rPr>
              <w:t xml:space="preserve">Hypertrophic Pyloric Stenosis</w:t>
            </w:r>
            <w:r>
              <w:rPr>
                <w:rFonts w:cs="Arial"/>
                <w:b/>
                <w:bCs/>
                <w:sz w:val="20"/>
                <w:szCs w:val="20"/>
              </w:rPr>
            </w:r>
          </w:p>
          <w:p>
            <w:pPr>
              <w:pBdr/>
              <w:spacing/>
              <w:ind/>
              <w:rPr>
                <w:rFonts w:cs="Arial"/>
                <w:sz w:val="20"/>
                <w:szCs w:val="20"/>
              </w:rPr>
            </w:pPr>
            <w:r>
              <w:rPr>
                <w:rFonts w:cs="Arial"/>
                <w:sz w:val="20"/>
                <w:szCs w:val="20"/>
              </w:rPr>
            </w:r>
            <w:r>
              <w:rPr>
                <w:rFonts w:cs="Arial"/>
                <w:sz w:val="20"/>
                <w:szCs w:val="20"/>
              </w:rPr>
            </w:r>
          </w:p>
        </w:tc>
        <w:tc>
          <w:tcPr>
            <w:tcBorders/>
            <w:tcW w:w="3402" w:type="dxa"/>
            <w:textDirection w:val="lrTb"/>
            <w:noWrap w:val="false"/>
          </w:tcPr>
          <w:p>
            <w:pPr>
              <w:pBdr/>
              <w:spacing/>
              <w:ind/>
              <w:rPr>
                <w:rFonts w:cs="Arial"/>
                <w:sz w:val="20"/>
                <w:szCs w:val="20"/>
              </w:rPr>
            </w:pPr>
            <w:r>
              <w:rPr>
                <w:rFonts w:cs="Arial"/>
                <w:b/>
                <w:bCs/>
                <w:sz w:val="20"/>
                <w:szCs w:val="20"/>
              </w:rPr>
              <w:t xml:space="preserve">What is it? </w:t>
            </w:r>
            <w:r>
              <w:rPr>
                <w:rFonts w:cs="Arial"/>
                <w:sz w:val="20"/>
                <w:szCs w:val="20"/>
              </w:rPr>
              <w:t xml:space="preserve">Hyperplasia, hypertrophy, and elongation of the pylorus. The edematous thickened tissue can be palpated as a mobile hard “olive”. </w:t>
            </w:r>
            <w:r>
              <w:rPr>
                <w:rFonts w:cs="Arial"/>
                <w:sz w:val="20"/>
                <w:szCs w:val="20"/>
              </w:rPr>
            </w:r>
          </w:p>
        </w:tc>
        <w:tc>
          <w:tcPr>
            <w:tcBorders/>
            <w:tcW w:w="3195" w:type="dxa"/>
            <w:textDirection w:val="lrTb"/>
            <w:noWrap w:val="false"/>
          </w:tcPr>
          <w:p>
            <w:pPr>
              <w:pBdr/>
              <w:spacing/>
              <w:ind/>
              <w:rPr>
                <w:rFonts w:cs="Arial"/>
                <w:sz w:val="20"/>
                <w:szCs w:val="20"/>
              </w:rPr>
            </w:pPr>
            <w:r>
              <w:rPr>
                <w:rFonts w:cs="Arial"/>
                <w:b/>
                <w:bCs/>
                <w:sz w:val="20"/>
                <w:szCs w:val="20"/>
              </w:rPr>
              <w:t xml:space="preserve">Symptoms/Complications:</w:t>
            </w:r>
            <w:r>
              <w:rPr>
                <w:rFonts w:cs="Arial"/>
                <w:sz w:val="20"/>
                <w:szCs w:val="20"/>
              </w:rPr>
              <w:t xml:space="preserve"> Projectile </w:t>
            </w:r>
            <w:r>
              <w:rPr>
                <w:rFonts w:cs="Arial"/>
                <w:sz w:val="20"/>
                <w:szCs w:val="20"/>
              </w:rPr>
              <w:t xml:space="preserve">vomiting</w:t>
            </w:r>
            <w:r>
              <w:rPr>
                <w:rFonts w:cs="Arial"/>
                <w:sz w:val="20"/>
                <w:szCs w:val="20"/>
              </w:rPr>
              <w:t xml:space="preserve"> leading to dehydration.</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870" w:type="dxa"/>
            <w:textDirection w:val="lrTb"/>
            <w:noWrap w:val="false"/>
          </w:tcPr>
          <w:p>
            <w:pPr>
              <w:pBdr/>
              <w:spacing/>
              <w:ind/>
              <w:rPr>
                <w:rFonts w:cs="Arial"/>
                <w:sz w:val="20"/>
                <w:szCs w:val="20"/>
              </w:rPr>
            </w:pPr>
            <w:r>
              <w:rPr>
                <w:rFonts w:cs="Arial"/>
                <w:b/>
                <w:bCs/>
                <w:sz w:val="20"/>
                <w:szCs w:val="20"/>
              </w:rPr>
              <w:t xml:space="preserve">Radiographic Indications: </w:t>
            </w:r>
            <w:r>
              <w:rPr>
                <w:rFonts w:cs="Arial"/>
                <w:bCs/>
                <w:sz w:val="20"/>
                <w:szCs w:val="20"/>
              </w:rPr>
              <w:t xml:space="preserve">Best diagnosed with ultrasound, but u</w:t>
            </w:r>
            <w:r>
              <w:rPr>
                <w:rFonts w:cs="Arial"/>
                <w:sz w:val="20"/>
                <w:szCs w:val="20"/>
              </w:rPr>
              <w:t xml:space="preserve">pper GI with thin barium may confirm diagnosis by demonstrating a “string sign”, and delayed stomach emptying.  </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024" w:type="dxa"/>
            <w:textDirection w:val="lrTb"/>
            <w:noWrap w:val="false"/>
          </w:tcPr>
          <w:p>
            <w:pPr>
              <w:pBdr/>
              <w:spacing/>
              <w:ind/>
              <w:rPr>
                <w:rFonts w:cs="Arial"/>
                <w:sz w:val="20"/>
                <w:szCs w:val="20"/>
              </w:rPr>
            </w:pPr>
            <w:r>
              <w:rPr>
                <w:rFonts w:cs="Arial"/>
                <w:b/>
                <w:sz w:val="20"/>
                <w:szCs w:val="20"/>
              </w:rPr>
              <w:t xml:space="preserve">Eisenberg Fig 5-31</w:t>
            </w:r>
            <w:r>
              <w:rPr>
                <w:rFonts w:cs="Arial"/>
                <w:sz w:val="20"/>
                <w:szCs w:val="20"/>
              </w:rPr>
              <w:t xml:space="preserve"> The palpable “olive” appears as a doughnut on ultrasound.</w:t>
            </w:r>
            <w:r>
              <w:rPr>
                <w:rFonts w:cs="Arial"/>
                <w:sz w:val="20"/>
                <w:szCs w:val="20"/>
              </w:rPr>
            </w:r>
          </w:p>
        </w:tc>
      </w:tr>
      <w:tr>
        <w:trPr>
          <w:gridAfter w:val="1"/>
          <w:trHeight w:val="2268" w:hRule="exact"/>
        </w:trPr>
        <w:tc>
          <w:tcPr>
            <w:tcBorders/>
            <w:tcW w:w="1701" w:type="dxa"/>
            <w:textDirection w:val="lrTb"/>
            <w:noWrap w:val="false"/>
          </w:tcPr>
          <w:p>
            <w:pPr>
              <w:pBdr/>
              <w:spacing/>
              <w:ind/>
              <w:rPr>
                <w:rFonts w:cs="Arial"/>
                <w:b/>
                <w:sz w:val="20"/>
                <w:szCs w:val="20"/>
              </w:rPr>
            </w:pPr>
            <w:r>
              <w:rPr>
                <w:rFonts w:cs="Arial"/>
                <w:b/>
                <w:sz w:val="20"/>
                <w:szCs w:val="20"/>
              </w:rPr>
              <w:t xml:space="preserve">Gastritis</w:t>
            </w:r>
            <w:r>
              <w:rPr>
                <w:rFonts w:cs="Arial"/>
                <w:b/>
                <w:sz w:val="20"/>
                <w:szCs w:val="20"/>
              </w:rPr>
            </w:r>
          </w:p>
        </w:tc>
        <w:tc>
          <w:tcPr>
            <w:tcBorders/>
            <w:tcW w:w="3402" w:type="dxa"/>
            <w:textDirection w:val="lrTb"/>
            <w:noWrap w:val="false"/>
          </w:tcPr>
          <w:p>
            <w:pPr>
              <w:pBdr/>
              <w:spacing/>
              <w:ind/>
              <w:rPr>
                <w:rFonts w:cs="Arial"/>
                <w:b/>
                <w:bCs/>
                <w:sz w:val="20"/>
                <w:szCs w:val="20"/>
              </w:rPr>
            </w:pPr>
            <w:r>
              <w:rPr>
                <w:rFonts w:cs="Arial"/>
                <w:b/>
                <w:bCs/>
                <w:sz w:val="20"/>
                <w:szCs w:val="20"/>
              </w:rPr>
              <w:t xml:space="preserve">What is it? </w:t>
            </w:r>
            <w:r>
              <w:rPr>
                <w:rFonts w:cs="Arial"/>
                <w:bCs/>
                <w:sz w:val="20"/>
                <w:szCs w:val="20"/>
              </w:rPr>
              <w:t xml:space="preserve">Inflammation of the stomach.  Common causes include alcohol,</w:t>
            </w:r>
            <w:r>
              <w:rPr>
                <w:rFonts w:cs="Arial"/>
                <w:bCs/>
                <w:sz w:val="20"/>
                <w:szCs w:val="20"/>
              </w:rPr>
              <w:t xml:space="preserve"> corrosive agents, and infection, esp. he</w:t>
            </w:r>
            <w:r>
              <w:rPr>
                <w:rFonts w:cs="Arial"/>
                <w:bCs/>
                <w:sz w:val="20"/>
                <w:szCs w:val="20"/>
              </w:rPr>
              <w:t xml:space="preserve">licobacter pylori </w:t>
            </w:r>
            <w:r>
              <w:rPr>
                <w:rFonts w:cs="Arial"/>
                <w:bCs/>
                <w:sz w:val="20"/>
                <w:szCs w:val="20"/>
              </w:rPr>
              <w:t xml:space="preserve">bacteria</w:t>
            </w:r>
            <w:r>
              <w:rPr>
                <w:rFonts w:cs="Arial"/>
                <w:b/>
                <w:bCs/>
                <w:sz w:val="20"/>
                <w:szCs w:val="20"/>
              </w:rPr>
              <w:t xml:space="preserve"> </w:t>
            </w:r>
            <w:r>
              <w:rPr>
                <w:rFonts w:cs="Arial"/>
                <w:b/>
                <w:bCs/>
                <w:sz w:val="20"/>
                <w:szCs w:val="20"/>
              </w:rPr>
            </w:r>
          </w:p>
        </w:tc>
        <w:tc>
          <w:tcPr>
            <w:tcBorders/>
            <w:tcW w:w="3195" w:type="dxa"/>
            <w:textDirection w:val="lrTb"/>
            <w:noWrap w:val="false"/>
          </w:tcPr>
          <w:p>
            <w:pPr>
              <w:pBdr/>
              <w:spacing/>
              <w:ind/>
              <w:rPr>
                <w:rFonts w:cs="Arial"/>
                <w:b/>
                <w:bCs/>
                <w:sz w:val="20"/>
                <w:szCs w:val="20"/>
              </w:rPr>
            </w:pPr>
            <w:r>
              <w:rPr>
                <w:rFonts w:cs="Arial"/>
                <w:b/>
                <w:bCs/>
                <w:sz w:val="20"/>
                <w:szCs w:val="20"/>
              </w:rPr>
              <w:t xml:space="preserve">Symptoms/Complications: </w:t>
            </w:r>
            <w:r>
              <w:rPr>
                <w:rFonts w:cs="Arial"/>
                <w:bCs/>
                <w:sz w:val="20"/>
                <w:szCs w:val="20"/>
              </w:rPr>
              <w:t xml:space="preserve">Erosions</w:t>
            </w:r>
            <w:r>
              <w:rPr>
                <w:rFonts w:cs="Arial"/>
                <w:bCs/>
                <w:sz w:val="20"/>
                <w:szCs w:val="20"/>
              </w:rPr>
              <w:t xml:space="preserve"> and</w:t>
            </w:r>
            <w:r>
              <w:rPr>
                <w:rFonts w:cs="Arial"/>
                <w:b/>
                <w:bCs/>
                <w:sz w:val="20"/>
                <w:szCs w:val="20"/>
              </w:rPr>
              <w:t xml:space="preserve"> </w:t>
            </w:r>
            <w:r>
              <w:rPr>
                <w:rFonts w:cs="Arial"/>
                <w:bCs/>
                <w:sz w:val="20"/>
                <w:szCs w:val="20"/>
              </w:rPr>
              <w:t xml:space="preserve">p</w:t>
            </w:r>
            <w:r>
              <w:rPr>
                <w:rFonts w:cs="Arial"/>
                <w:bCs/>
                <w:sz w:val="20"/>
                <w:szCs w:val="20"/>
              </w:rPr>
              <w:t xml:space="preserve">eptic ulcers may form secondary to gastritis.</w:t>
            </w:r>
            <w:r>
              <w:rPr>
                <w:rFonts w:cs="Arial"/>
                <w:b/>
                <w:bCs/>
                <w:sz w:val="20"/>
                <w:szCs w:val="20"/>
              </w:rPr>
              <w:t xml:space="preserve"> </w:t>
            </w:r>
            <w:r>
              <w:rPr>
                <w:rFonts w:cs="Arial"/>
                <w:b/>
                <w:bCs/>
                <w:sz w:val="20"/>
                <w:szCs w:val="20"/>
              </w:rPr>
            </w:r>
          </w:p>
        </w:tc>
        <w:tc>
          <w:tcPr>
            <w:tcBorders/>
            <w:tcW w:w="3870" w:type="dxa"/>
            <w:textDirection w:val="lrTb"/>
            <w:noWrap w:val="false"/>
          </w:tcPr>
          <w:p>
            <w:pPr>
              <w:pBdr/>
              <w:spacing/>
              <w:ind/>
              <w:rPr>
                <w:rFonts w:cs="Arial"/>
                <w:b/>
                <w:bCs/>
                <w:sz w:val="20"/>
                <w:szCs w:val="20"/>
              </w:rPr>
            </w:pPr>
            <w:r>
              <w:rPr>
                <w:rFonts w:cs="Arial"/>
                <w:b/>
                <w:bCs/>
                <w:sz w:val="20"/>
                <w:szCs w:val="20"/>
              </w:rPr>
              <w:t xml:space="preserve">Radiographic indications:</w:t>
            </w:r>
            <w:r>
              <w:rPr>
                <w:rFonts w:cs="Arial"/>
                <w:b/>
                <w:bCs/>
                <w:sz w:val="20"/>
                <w:szCs w:val="20"/>
              </w:rPr>
            </w:r>
          </w:p>
          <w:p>
            <w:pPr>
              <w:pBdr/>
              <w:spacing/>
              <w:ind/>
              <w:rPr>
                <w:rFonts w:cs="Arial"/>
                <w:b/>
                <w:bCs/>
                <w:sz w:val="20"/>
                <w:szCs w:val="20"/>
              </w:rPr>
            </w:pPr>
            <w:r>
              <w:rPr>
                <w:rFonts w:cs="Arial"/>
                <w:bCs/>
                <w:sz w:val="20"/>
                <w:szCs w:val="20"/>
              </w:rPr>
              <w:t xml:space="preserve">Thickening of gastric folds (rugae).  If caused by H. pylori, gas bubbles given off by the bacteria will be visualized in the stomach wall.</w:t>
            </w:r>
            <w:r>
              <w:rPr>
                <w:rFonts w:cs="Arial"/>
                <w:b/>
                <w:bCs/>
                <w:sz w:val="20"/>
                <w:szCs w:val="20"/>
              </w:rPr>
            </w:r>
          </w:p>
        </w:tc>
        <w:tc>
          <w:tcPr>
            <w:tcBorders/>
            <w:tcW w:w="3024" w:type="dxa"/>
            <w:textDirection w:val="lrTb"/>
            <w:noWrap w:val="false"/>
          </w:tcPr>
          <w:p>
            <w:pPr>
              <w:pBdr/>
              <w:spacing/>
              <w:ind/>
              <w:rPr>
                <w:rFonts w:cs="Arial"/>
                <w:sz w:val="20"/>
                <w:szCs w:val="20"/>
              </w:rPr>
            </w:pPr>
            <w:r>
              <w:rPr>
                <w:rFonts w:cs="Arial"/>
                <w:b/>
                <w:sz w:val="20"/>
                <w:szCs w:val="20"/>
              </w:rPr>
              <w:t xml:space="preserve">Eisenberg fig. 5-29</w:t>
            </w:r>
            <w:r>
              <w:rPr>
                <w:rFonts w:cs="Arial"/>
                <w:sz w:val="20"/>
                <w:szCs w:val="20"/>
              </w:rPr>
              <w:t xml:space="preserve"> is the best example. </w:t>
            </w:r>
            <w:r>
              <w:rPr>
                <w:rFonts w:cs="Arial"/>
                <w:b/>
                <w:sz w:val="20"/>
                <w:szCs w:val="20"/>
              </w:rPr>
              <w:t xml:space="preserve">5-30</w:t>
            </w:r>
            <w:r>
              <w:rPr>
                <w:rFonts w:cs="Arial"/>
                <w:sz w:val="20"/>
                <w:szCs w:val="20"/>
              </w:rPr>
              <w:t xml:space="preserve"> is supposed to be demonstrating gas bubbles in the stomach wall, but it is hard to see.</w:t>
            </w:r>
            <w:r>
              <w:rPr>
                <w:rFonts w:cs="Arial"/>
                <w:sz w:val="20"/>
                <w:szCs w:val="20"/>
              </w:rPr>
            </w:r>
          </w:p>
        </w:tc>
      </w:tr>
      <w:tr>
        <w:trPr>
          <w:gridAfter w:val="1"/>
          <w:trHeight w:val="3574" w:hRule="exact"/>
        </w:trPr>
        <w:tc>
          <w:tcPr>
            <w:tcBorders/>
            <w:tcW w:w="1701" w:type="dxa"/>
            <w:textDirection w:val="lrTb"/>
            <w:noWrap w:val="false"/>
          </w:tcPr>
          <w:p>
            <w:pPr>
              <w:pBdr/>
              <w:spacing/>
              <w:ind/>
              <w:rPr>
                <w:rFonts w:cs="Arial"/>
                <w:b/>
                <w:sz w:val="20"/>
                <w:szCs w:val="20"/>
              </w:rPr>
            </w:pPr>
            <w:r>
              <w:rPr>
                <w:rFonts w:cs="Arial"/>
                <w:b/>
                <w:sz w:val="20"/>
                <w:szCs w:val="20"/>
              </w:rPr>
              <w:t xml:space="preserve">Peptic Ulcer</w:t>
            </w:r>
            <w:r>
              <w:rPr>
                <w:rFonts w:cs="Arial"/>
                <w:b/>
                <w:sz w:val="20"/>
                <w:szCs w:val="20"/>
              </w:rPr>
            </w:r>
          </w:p>
          <w:p>
            <w:pPr>
              <w:pBdr/>
              <w:spacing/>
              <w:ind/>
              <w:rPr>
                <w:rFonts w:cs="Arial"/>
                <w:sz w:val="20"/>
                <w:szCs w:val="20"/>
              </w:rPr>
            </w:pPr>
            <w:r>
              <w:rPr>
                <w:rFonts w:cs="Arial"/>
                <w:sz w:val="20"/>
                <w:szCs w:val="20"/>
              </w:rPr>
            </w:r>
            <w:r>
              <w:rPr>
                <w:rFonts w:cs="Arial"/>
                <w:sz w:val="20"/>
                <w:szCs w:val="20"/>
              </w:rPr>
            </w:r>
          </w:p>
        </w:tc>
        <w:tc>
          <w:tcPr>
            <w:tcBorders/>
            <w:tcW w:w="3402" w:type="dxa"/>
            <w:textDirection w:val="lrTb"/>
            <w:noWrap w:val="false"/>
          </w:tcPr>
          <w:p>
            <w:pPr>
              <w:pBdr/>
              <w:spacing/>
              <w:ind/>
              <w:rPr>
                <w:rFonts w:cs="Arial"/>
                <w:sz w:val="20"/>
                <w:szCs w:val="20"/>
              </w:rPr>
            </w:pPr>
            <w:r>
              <w:rPr>
                <w:rFonts w:cs="Arial"/>
                <w:b/>
                <w:bCs/>
                <w:sz w:val="20"/>
                <w:szCs w:val="20"/>
              </w:rPr>
              <w:t xml:space="preserve">What is it? </w:t>
            </w:r>
            <w:r>
              <w:rPr>
                <w:rFonts w:cs="Arial"/>
                <w:b/>
                <w:bCs/>
                <w:sz w:val="20"/>
                <w:szCs w:val="20"/>
              </w:rPr>
              <w:t xml:space="preserve">I</w:t>
            </w:r>
            <w:r>
              <w:rPr>
                <w:rFonts w:cs="Arial"/>
                <w:bCs/>
                <w:sz w:val="20"/>
                <w:szCs w:val="20"/>
              </w:rPr>
              <w:t xml:space="preserve">nflammatory processes in the stomach and duodenum secondary to gastritis.</w:t>
            </w:r>
            <w:r>
              <w:rPr>
                <w:rFonts w:cs="Arial"/>
                <w:bCs/>
                <w:sz w:val="20"/>
                <w:szCs w:val="20"/>
              </w:rPr>
              <w:t xml:space="preserve"> C</w:t>
            </w:r>
            <w:r>
              <w:rPr>
                <w:rFonts w:cs="Arial"/>
                <w:bCs/>
                <w:sz w:val="20"/>
                <w:szCs w:val="20"/>
              </w:rPr>
              <w:t xml:space="preserve">aused </w:t>
            </w:r>
            <w:r>
              <w:rPr>
                <w:rFonts w:cs="Arial"/>
                <w:bCs/>
                <w:sz w:val="20"/>
                <w:szCs w:val="20"/>
              </w:rPr>
              <w:t xml:space="preserve">the gastric digestive enzyme pe</w:t>
            </w:r>
            <w:r>
              <w:rPr>
                <w:rFonts w:cs="Arial"/>
                <w:bCs/>
                <w:sz w:val="20"/>
                <w:szCs w:val="20"/>
              </w:rPr>
              <w:t xml:space="preserve">psin </w:t>
            </w:r>
            <w:r>
              <w:rPr>
                <w:rFonts w:cs="Arial"/>
                <w:bCs/>
                <w:sz w:val="20"/>
                <w:szCs w:val="20"/>
              </w:rPr>
              <w:t xml:space="preserve">and stomach acid (HCL) wearing through (eroding) the mu</w:t>
            </w:r>
            <w:r>
              <w:rPr>
                <w:rFonts w:cs="Arial"/>
                <w:bCs/>
                <w:sz w:val="20"/>
                <w:szCs w:val="20"/>
              </w:rPr>
              <w:t xml:space="preserve">cosal lining of the stomach.  </w:t>
            </w:r>
            <w:r>
              <w:rPr>
                <w:rFonts w:cs="Arial"/>
                <w:sz w:val="20"/>
                <w:szCs w:val="20"/>
              </w:rPr>
              <w:t xml:space="preserve">Usually in lesser curvature of stomach or duodenal bulb. Duodenal ulcers are </w:t>
            </w:r>
            <w:r>
              <w:rPr>
                <w:rFonts w:cs="Arial"/>
                <w:sz w:val="20"/>
                <w:szCs w:val="20"/>
              </w:rPr>
              <w:t xml:space="preserve">most common (95%) and </w:t>
            </w:r>
            <w:r>
              <w:rPr>
                <w:rFonts w:cs="Arial"/>
                <w:sz w:val="20"/>
                <w:szCs w:val="20"/>
              </w:rPr>
              <w:t xml:space="preserve">usually benign. Usually aggravated by NSAID’s (what is a common NSAID?) and bacterium H. pylori. </w:t>
            </w:r>
            <w:r>
              <w:rPr>
                <w:rFonts w:cs="Arial"/>
                <w:sz w:val="20"/>
                <w:szCs w:val="20"/>
              </w:rPr>
            </w:r>
          </w:p>
          <w:p>
            <w:pPr>
              <w:pStyle w:val="711"/>
              <w:pBdr/>
              <w:spacing w:after="0" w:afterAutospacing="0" w:before="0" w:beforeAutospacing="0"/>
              <w:ind/>
              <w:rPr>
                <w:rFonts w:cs="Arial" w:asciiTheme="minorHAnsi" w:hAnsiTheme="minorHAnsi"/>
                <w:sz w:val="20"/>
                <w:szCs w:val="20"/>
              </w:rPr>
            </w:pPr>
            <w:r>
              <w:rPr>
                <w:rFonts w:cs="Arial" w:asciiTheme="minorHAnsi" w:hAnsiTheme="minorHAnsi"/>
                <w:sz w:val="20"/>
                <w:szCs w:val="20"/>
              </w:rPr>
            </w:r>
            <w:r>
              <w:rPr>
                <w:rFonts w:cs="Arial" w:asciiTheme="minorHAnsi" w:hAnsiTheme="minorHAnsi"/>
                <w:sz w:val="20"/>
                <w:szCs w:val="20"/>
              </w:rPr>
            </w:r>
          </w:p>
        </w:tc>
        <w:tc>
          <w:tcPr>
            <w:tcBorders/>
            <w:tcW w:w="3195" w:type="dxa"/>
            <w:textDirection w:val="lrTb"/>
            <w:noWrap w:val="false"/>
          </w:tcPr>
          <w:p>
            <w:pPr>
              <w:pBdr/>
              <w:spacing/>
              <w:ind/>
              <w:rPr>
                <w:rFonts w:cs="Arial"/>
                <w:sz w:val="20"/>
                <w:szCs w:val="20"/>
              </w:rPr>
            </w:pPr>
            <w:r>
              <w:rPr>
                <w:rFonts w:cs="Arial"/>
                <w:b/>
                <w:bCs/>
                <w:sz w:val="20"/>
                <w:szCs w:val="20"/>
              </w:rPr>
              <w:t xml:space="preserve">Complications:</w:t>
            </w:r>
            <w:r>
              <w:rPr>
                <w:rFonts w:cs="Arial"/>
                <w:sz w:val="20"/>
                <w:szCs w:val="20"/>
              </w:rPr>
              <w:t xml:space="preserve"> </w:t>
            </w:r>
            <w:r>
              <w:rPr>
                <w:rFonts w:cs="Arial"/>
                <w:sz w:val="20"/>
                <w:szCs w:val="20"/>
              </w:rPr>
              <w:t xml:space="preserve">Hemorrhage, gastric outlet obstruction,</w:t>
            </w:r>
            <w:r>
              <w:rPr>
                <w:rFonts w:cs="Arial"/>
                <w:sz w:val="20"/>
                <w:szCs w:val="20"/>
              </w:rPr>
              <w:t xml:space="preserve"> perforation</w:t>
            </w:r>
            <w:r>
              <w:rPr>
                <w:rFonts w:cs="Arial"/>
                <w:sz w:val="20"/>
                <w:szCs w:val="20"/>
              </w:rPr>
              <w:t xml:space="preserve"> leading to</w:t>
            </w:r>
            <w:r>
              <w:rPr>
                <w:rFonts w:cs="Arial"/>
                <w:sz w:val="20"/>
                <w:szCs w:val="20"/>
              </w:rPr>
              <w:t xml:space="preserve"> pneumoperitoneum</w:t>
            </w:r>
            <w:r>
              <w:rPr>
                <w:rFonts w:cs="Arial"/>
                <w:sz w:val="20"/>
                <w:szCs w:val="20"/>
              </w:rPr>
              <w:t xml:space="preserve"> and</w:t>
            </w:r>
            <w:r>
              <w:rPr>
                <w:rFonts w:cs="Arial"/>
                <w:sz w:val="20"/>
                <w:szCs w:val="20"/>
              </w:rPr>
              <w:t xml:space="preserve"> peritonitis. </w:t>
            </w:r>
            <w:r>
              <w:rPr>
                <w:rFonts w:cs="Arial"/>
                <w:sz w:val="20"/>
                <w:szCs w:val="20"/>
              </w:rPr>
              <w:t xml:space="preserve">Peptic ulcers are the most common cause of upper GI bleeding and pneumoperitoneum</w:t>
            </w:r>
            <w:r>
              <w:rPr>
                <w:rFonts w:cs="Arial"/>
                <w:sz w:val="20"/>
                <w:szCs w:val="20"/>
              </w:rPr>
              <w:t xml:space="preserve">. </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870" w:type="dxa"/>
            <w:textDirection w:val="lrTb"/>
            <w:noWrap w:val="false"/>
          </w:tcPr>
          <w:p>
            <w:pPr>
              <w:pBdr/>
              <w:spacing/>
              <w:ind/>
              <w:rPr>
                <w:rFonts w:cs="Arial"/>
                <w:sz w:val="20"/>
                <w:szCs w:val="20"/>
              </w:rPr>
            </w:pPr>
            <w:r>
              <w:rPr>
                <w:rFonts w:cs="Arial"/>
                <w:b/>
                <w:bCs/>
                <w:sz w:val="20"/>
                <w:szCs w:val="20"/>
              </w:rPr>
              <w:t xml:space="preserve">Radiographic indications: </w:t>
            </w:r>
            <w:r>
              <w:rPr>
                <w:rFonts w:cs="Arial"/>
                <w:sz w:val="20"/>
                <w:szCs w:val="20"/>
              </w:rPr>
              <w:t xml:space="preserve">Benign ulcers demonstrate as barium filled projections surrounded by </w:t>
            </w:r>
            <w:r>
              <w:rPr>
                <w:rFonts w:cs="Arial"/>
                <w:b/>
                <w:sz w:val="20"/>
                <w:szCs w:val="20"/>
                <w:u w:val="single"/>
              </w:rPr>
              <w:t xml:space="preserve">smooth, </w:t>
            </w:r>
            <w:r>
              <w:rPr>
                <w:rFonts w:cs="Arial"/>
                <w:b/>
                <w:sz w:val="20"/>
                <w:szCs w:val="20"/>
                <w:u w:val="single"/>
              </w:rPr>
              <w:t xml:space="preserve">slender</w:t>
            </w:r>
            <w:r>
              <w:rPr>
                <w:rFonts w:cs="Arial"/>
                <w:sz w:val="20"/>
                <w:szCs w:val="20"/>
              </w:rPr>
              <w:t xml:space="preserve"> radiolucent</w:t>
            </w:r>
            <w:r>
              <w:rPr>
                <w:rFonts w:cs="Arial"/>
                <w:sz w:val="20"/>
                <w:szCs w:val="20"/>
              </w:rPr>
              <w:t xml:space="preserve"> folds of mucosal tissue.  Malignant ulcers are surrounded by irregular folds, and there is an abrupt transition between the mucosal layer of tissue and the abnormal tissue of the tumour.  </w:t>
            </w:r>
            <w:r>
              <w:rPr>
                <w:rFonts w:cs="Arial"/>
                <w:sz w:val="20"/>
                <w:szCs w:val="20"/>
              </w:rPr>
              <w:t xml:space="preserve"> Lifestyle changes are treatments of choice for benign ulcers: low acid foods, antacids, stress reduction, and antibiotics.  </w:t>
            </w:r>
            <w:r>
              <w:rPr>
                <w:rFonts w:cs="Arial"/>
                <w:sz w:val="20"/>
                <w:szCs w:val="20"/>
              </w:rPr>
              <w:t xml:space="preserve"> </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024" w:type="dxa"/>
            <w:textDirection w:val="lrTb"/>
            <w:noWrap w:val="false"/>
          </w:tcPr>
          <w:p>
            <w:pPr>
              <w:pBdr/>
              <w:spacing/>
              <w:ind/>
              <w:rPr>
                <w:rFonts w:cs="Arial"/>
                <w:b/>
                <w:sz w:val="20"/>
                <w:szCs w:val="20"/>
              </w:rPr>
            </w:pPr>
            <w:r>
              <w:rPr>
                <w:rFonts w:cs="Arial"/>
                <w:b/>
                <w:sz w:val="20"/>
                <w:szCs w:val="20"/>
              </w:rPr>
              <w:t xml:space="preserve">Eisenberg </w:t>
            </w:r>
            <w:r>
              <w:rPr>
                <w:rFonts w:cs="Arial"/>
                <w:b/>
                <w:sz w:val="20"/>
                <w:szCs w:val="20"/>
              </w:rPr>
              <w:t xml:space="preserve">Fig. 5-3</w:t>
            </w:r>
            <w:r>
              <w:rPr>
                <w:rFonts w:cs="Arial"/>
                <w:b/>
                <w:sz w:val="20"/>
                <w:szCs w:val="20"/>
              </w:rPr>
              <w:t xml:space="preserve">2</w:t>
            </w:r>
            <w:r>
              <w:rPr>
                <w:rFonts w:cs="Arial"/>
                <w:b/>
                <w:sz w:val="20"/>
                <w:szCs w:val="20"/>
              </w:rPr>
              <w:t xml:space="preserve"> thru to 5-38</w:t>
            </w:r>
            <w:r>
              <w:rPr>
                <w:rFonts w:cs="Arial"/>
                <w:b/>
                <w:sz w:val="20"/>
                <w:szCs w:val="20"/>
              </w:rPr>
            </w:r>
          </w:p>
        </w:tc>
      </w:tr>
      <w:tr>
        <w:trPr>
          <w:gridAfter w:val="1"/>
          <w:trHeight w:val="2683" w:hRule="exact"/>
        </w:trPr>
        <w:tc>
          <w:tcPr>
            <w:tcBorders/>
            <w:tcW w:w="1701" w:type="dxa"/>
            <w:textDirection w:val="lrTb"/>
            <w:noWrap w:val="false"/>
          </w:tcPr>
          <w:p>
            <w:pPr>
              <w:pBdr/>
              <w:spacing/>
              <w:ind/>
              <w:rPr>
                <w:rFonts w:cs="Arial"/>
                <w:b/>
                <w:sz w:val="20"/>
                <w:szCs w:val="20"/>
              </w:rPr>
            </w:pPr>
            <w:r>
              <w:rPr>
                <w:rFonts w:cs="Arial"/>
                <w:b/>
                <w:sz w:val="20"/>
                <w:szCs w:val="20"/>
              </w:rPr>
              <w:t xml:space="preserve">Gastric CA</w:t>
            </w:r>
            <w:r>
              <w:rPr>
                <w:rFonts w:cs="Arial"/>
                <w:b/>
                <w:sz w:val="20"/>
                <w:szCs w:val="20"/>
              </w:rPr>
            </w:r>
          </w:p>
          <w:p>
            <w:pPr>
              <w:pBdr/>
              <w:spacing/>
              <w:ind/>
              <w:rPr>
                <w:rFonts w:cs="Arial"/>
                <w:sz w:val="20"/>
                <w:szCs w:val="20"/>
              </w:rPr>
            </w:pPr>
            <w:r>
              <w:rPr>
                <w:rFonts w:cs="Arial"/>
                <w:sz w:val="20"/>
                <w:szCs w:val="20"/>
              </w:rPr>
            </w:r>
            <w:r>
              <w:rPr>
                <w:rFonts w:cs="Arial"/>
                <w:sz w:val="20"/>
                <w:szCs w:val="20"/>
              </w:rPr>
            </w:r>
          </w:p>
        </w:tc>
        <w:tc>
          <w:tcPr>
            <w:tcBorders/>
            <w:tcW w:w="3402" w:type="dxa"/>
            <w:textDirection w:val="lrTb"/>
            <w:noWrap w:val="false"/>
          </w:tcPr>
          <w:p>
            <w:pPr>
              <w:pBdr/>
              <w:spacing/>
              <w:ind/>
              <w:rPr>
                <w:rFonts w:cs="Arial"/>
                <w:sz w:val="20"/>
                <w:szCs w:val="20"/>
              </w:rPr>
            </w:pPr>
            <w:r>
              <w:rPr>
                <w:rFonts w:cs="Arial"/>
                <w:b/>
                <w:bCs/>
                <w:sz w:val="20"/>
                <w:szCs w:val="20"/>
              </w:rPr>
              <w:t xml:space="preserve">What is it?</w:t>
            </w:r>
            <w:r>
              <w:rPr>
                <w:rFonts w:cs="Arial"/>
                <w:bCs/>
                <w:sz w:val="20"/>
                <w:szCs w:val="20"/>
              </w:rPr>
              <w:t xml:space="preserve"> </w:t>
            </w:r>
            <w:r>
              <w:rPr>
                <w:rFonts w:cs="Arial"/>
                <w:sz w:val="20"/>
                <w:szCs w:val="20"/>
              </w:rPr>
              <w:t xml:space="preserve"> Tumor of the stomach.  Usually </w:t>
            </w:r>
            <w:r>
              <w:rPr>
                <w:rFonts w:cs="Arial"/>
                <w:sz w:val="20"/>
                <w:szCs w:val="20"/>
              </w:rPr>
              <w:t xml:space="preserve">cancerous.</w:t>
            </w:r>
            <w:r>
              <w:rPr>
                <w:rFonts w:cs="Arial"/>
                <w:sz w:val="20"/>
                <w:szCs w:val="20"/>
              </w:rPr>
              <w:t xml:space="preserve">   &gt;5 year survival rate is &lt; 20%. Usually occurs in pyloric and antrum regions especially in lesser curvature.  Treated with surgical gastrectomy. </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195" w:type="dxa"/>
            <w:textDirection w:val="lrTb"/>
            <w:noWrap w:val="false"/>
          </w:tcPr>
          <w:p>
            <w:pPr>
              <w:pBdr/>
              <w:spacing/>
              <w:ind/>
              <w:rPr>
                <w:rFonts w:cs="Arial"/>
                <w:sz w:val="20"/>
                <w:szCs w:val="20"/>
              </w:rPr>
            </w:pPr>
            <w:r>
              <w:rPr>
                <w:rFonts w:cs="Arial"/>
                <w:b/>
                <w:bCs/>
                <w:sz w:val="20"/>
                <w:szCs w:val="20"/>
              </w:rPr>
              <w:t xml:space="preserve">Symptoms/complications</w:t>
            </w:r>
            <w:r>
              <w:rPr>
                <w:rFonts w:cs="Arial"/>
                <w:bCs/>
                <w:sz w:val="20"/>
                <w:szCs w:val="20"/>
              </w:rPr>
              <w:t xml:space="preserve">: </w:t>
            </w:r>
            <w:r>
              <w:rPr>
                <w:rFonts w:cs="Arial"/>
                <w:sz w:val="20"/>
                <w:szCs w:val="20"/>
              </w:rPr>
              <w:t xml:space="preserve">Symptoms rarely present before the tumor is advanced so prognosis is poor (10%)  </w:t>
            </w:r>
            <w:r>
              <w:rPr>
                <w:rFonts w:cs="Arial"/>
                <w:sz w:val="20"/>
                <w:szCs w:val="20"/>
              </w:rPr>
            </w:r>
          </w:p>
        </w:tc>
        <w:tc>
          <w:tcPr>
            <w:tcBorders/>
            <w:tcW w:w="3870" w:type="dxa"/>
            <w:textDirection w:val="lrTb"/>
            <w:noWrap w:val="false"/>
          </w:tcPr>
          <w:p>
            <w:pPr>
              <w:pBdr/>
              <w:spacing/>
              <w:ind/>
              <w:rPr>
                <w:rFonts w:cs="Arial"/>
                <w:sz w:val="20"/>
                <w:szCs w:val="20"/>
              </w:rPr>
            </w:pPr>
            <w:r>
              <w:rPr>
                <w:rFonts w:cs="Arial"/>
                <w:b/>
                <w:bCs/>
                <w:sz w:val="20"/>
                <w:szCs w:val="20"/>
              </w:rPr>
              <w:t xml:space="preserve">Radiographic indications</w:t>
            </w:r>
            <w:r>
              <w:rPr>
                <w:rFonts w:cs="Arial"/>
                <w:bCs/>
                <w:sz w:val="20"/>
                <w:szCs w:val="20"/>
              </w:rPr>
              <w:t xml:space="preserve">: An upper GI exam will demonstrate the stomach as a fibrotic tubular structure with a fixed unpliable wall. </w:t>
            </w:r>
            <w:r>
              <w:rPr>
                <w:rFonts w:cs="Arial"/>
                <w:sz w:val="20"/>
                <w:szCs w:val="20"/>
              </w:rPr>
              <w:t xml:space="preserve">CT is used in staging, as it will indicate lymphatic and metastatic involvement.  Surgery of all or part of stomach is treatment of choice</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024" w:type="dxa"/>
            <w:textDirection w:val="lrTb"/>
            <w:noWrap w:val="false"/>
          </w:tcPr>
          <w:p>
            <w:pPr>
              <w:pBdr/>
              <w:spacing/>
              <w:ind/>
              <w:rPr>
                <w:rFonts w:cs="Arial"/>
                <w:b/>
                <w:sz w:val="20"/>
                <w:szCs w:val="20"/>
              </w:rPr>
            </w:pPr>
            <w:r>
              <w:rPr>
                <w:rFonts w:cs="Arial"/>
                <w:b/>
                <w:sz w:val="20"/>
                <w:szCs w:val="20"/>
              </w:rPr>
              <w:t xml:space="preserve">Eisenberg 5-40 and 5-41</w:t>
            </w:r>
            <w:r>
              <w:rPr>
                <w:rFonts w:cs="Arial"/>
                <w:b/>
                <w:sz w:val="20"/>
                <w:szCs w:val="20"/>
              </w:rPr>
            </w:r>
          </w:p>
          <w:p>
            <w:pPr>
              <w:pBdr/>
              <w:spacing/>
              <w:ind/>
              <w:rPr>
                <w:rFonts w:cs="Arial"/>
                <w:sz w:val="20"/>
                <w:szCs w:val="20"/>
              </w:rPr>
            </w:pPr>
            <w:r>
              <w:rPr>
                <w:rFonts w:cs="Arial"/>
                <w:sz w:val="20"/>
                <w:szCs w:val="20"/>
              </w:rPr>
            </w:r>
            <w:r>
              <w:rPr>
                <w:rFonts w:cs="Arial"/>
                <w:sz w:val="20"/>
                <w:szCs w:val="20"/>
              </w:rPr>
            </w:r>
          </w:p>
        </w:tc>
      </w:tr>
      <w:tr>
        <w:trPr>
          <w:gridAfter w:val="1"/>
          <w:trHeight w:val="3520" w:hRule="exact"/>
        </w:trPr>
        <w:tc>
          <w:tcPr>
            <w:tcBorders/>
            <w:tcW w:w="1701" w:type="dxa"/>
            <w:textDirection w:val="lrTb"/>
            <w:noWrap w:val="false"/>
          </w:tcPr>
          <w:p>
            <w:pPr>
              <w:pBdr/>
              <w:spacing/>
              <w:ind/>
              <w:rPr>
                <w:rFonts w:cs="Arial"/>
                <w:b/>
                <w:sz w:val="20"/>
                <w:szCs w:val="20"/>
              </w:rPr>
            </w:pPr>
            <w:r>
              <w:rPr>
                <w:rFonts w:cs="Arial"/>
                <w:b/>
                <w:sz w:val="20"/>
                <w:szCs w:val="20"/>
              </w:rPr>
              <w:t xml:space="preserve">Crohn’s  (Regional Enteritis)</w:t>
            </w:r>
            <w:r>
              <w:rPr>
                <w:rFonts w:cs="Arial"/>
                <w:b/>
                <w:sz w:val="20"/>
                <w:szCs w:val="20"/>
              </w:rPr>
            </w:r>
          </w:p>
          <w:p>
            <w:pPr>
              <w:pBdr/>
              <w:spacing/>
              <w:ind/>
              <w:rPr>
                <w:rFonts w:cs="Arial"/>
                <w:sz w:val="20"/>
                <w:szCs w:val="20"/>
              </w:rPr>
            </w:pPr>
            <w:r>
              <w:rPr>
                <w:rFonts w:cs="Arial"/>
                <w:sz w:val="20"/>
                <w:szCs w:val="20"/>
              </w:rPr>
            </w:r>
            <w:r>
              <w:rPr>
                <w:rFonts w:cs="Arial"/>
                <w:sz w:val="20"/>
                <w:szCs w:val="20"/>
              </w:rPr>
            </w:r>
          </w:p>
        </w:tc>
        <w:tc>
          <w:tcPr>
            <w:tcBorders/>
            <w:tcW w:w="3402" w:type="dxa"/>
            <w:textDirection w:val="lrTb"/>
            <w:noWrap w:val="false"/>
          </w:tcPr>
          <w:p>
            <w:pPr>
              <w:pBdr/>
              <w:spacing/>
              <w:ind/>
              <w:rPr>
                <w:rFonts w:cs="Arial"/>
                <w:sz w:val="20"/>
                <w:szCs w:val="20"/>
              </w:rPr>
            </w:pPr>
            <w:r>
              <w:rPr>
                <w:rFonts w:cs="Arial"/>
                <w:b/>
                <w:bCs/>
                <w:sz w:val="20"/>
                <w:szCs w:val="20"/>
              </w:rPr>
              <w:t xml:space="preserve">What is it?  </w:t>
            </w:r>
            <w:r>
              <w:rPr>
                <w:rFonts w:cs="Arial"/>
                <w:sz w:val="20"/>
                <w:szCs w:val="20"/>
              </w:rPr>
              <w:t xml:space="preserve">A chronic inflammatory disease characterized by healthy segments of bowel interspersed between unhealthy segments (skip lesions) Can affect entire GI tract but most often centers </w:t>
            </w:r>
            <w:r>
              <w:rPr>
                <w:rFonts w:cs="Arial"/>
                <w:sz w:val="20"/>
                <w:szCs w:val="20"/>
              </w:rPr>
              <w:t xml:space="preserve">around terminal</w:t>
            </w:r>
            <w:r>
              <w:rPr>
                <w:rFonts w:cs="Arial"/>
                <w:sz w:val="20"/>
                <w:szCs w:val="20"/>
              </w:rPr>
              <w:t xml:space="preserve"> ileum. Cause is unknown and the disease usually affects young adults. </w:t>
            </w:r>
            <w:r>
              <w:rPr>
                <w:rFonts w:cs="Arial"/>
                <w:sz w:val="20"/>
                <w:szCs w:val="20"/>
              </w:rPr>
            </w:r>
          </w:p>
        </w:tc>
        <w:tc>
          <w:tcPr>
            <w:tcBorders/>
            <w:tcW w:w="3195" w:type="dxa"/>
            <w:textDirection w:val="lrTb"/>
            <w:noWrap w:val="false"/>
          </w:tcPr>
          <w:p>
            <w:pPr>
              <w:pBdr/>
              <w:spacing/>
              <w:ind/>
              <w:rPr>
                <w:rFonts w:cs="Arial"/>
                <w:sz w:val="20"/>
                <w:szCs w:val="20"/>
              </w:rPr>
            </w:pPr>
            <w:r>
              <w:rPr>
                <w:rFonts w:cs="Arial"/>
                <w:b/>
                <w:bCs/>
                <w:sz w:val="20"/>
                <w:szCs w:val="20"/>
              </w:rPr>
              <w:t xml:space="preserve">Symptoms/Complications:  </w:t>
            </w:r>
            <w:r>
              <w:rPr>
                <w:rFonts w:cs="Arial"/>
                <w:bCs/>
                <w:sz w:val="20"/>
                <w:szCs w:val="20"/>
              </w:rPr>
              <w:t xml:space="preserve"> Palpable masses, pain and fever caused by w</w:t>
            </w:r>
            <w:r>
              <w:rPr>
                <w:rFonts w:cs="Arial"/>
                <w:bCs/>
                <w:sz w:val="20"/>
                <w:szCs w:val="20"/>
              </w:rPr>
              <w:t xml:space="preserve">ide spread inflammation with edema that </w:t>
            </w:r>
            <w:r>
              <w:rPr>
                <w:rFonts w:cs="Arial"/>
                <w:b/>
                <w:bCs/>
                <w:sz w:val="20"/>
                <w:szCs w:val="20"/>
                <w:u w:val="single"/>
              </w:rPr>
              <w:t xml:space="preserve">involves all layers of the bowel wall.</w:t>
            </w:r>
            <w:r>
              <w:rPr>
                <w:rFonts w:cs="Arial"/>
                <w:bCs/>
                <w:sz w:val="20"/>
                <w:szCs w:val="20"/>
              </w:rPr>
              <w:t xml:space="preserve"> Ulcerations are common, and fistulas between the</w:t>
            </w:r>
            <w:r>
              <w:rPr>
                <w:rFonts w:cs="Arial"/>
                <w:bCs/>
                <w:sz w:val="20"/>
                <w:szCs w:val="20"/>
              </w:rPr>
              <w:t xml:space="preserve"> adjacent</w:t>
            </w:r>
            <w:r>
              <w:rPr>
                <w:rFonts w:cs="Arial"/>
                <w:bCs/>
                <w:sz w:val="20"/>
                <w:szCs w:val="20"/>
              </w:rPr>
              <w:t xml:space="preserve"> bowel walls</w:t>
            </w:r>
            <w:r>
              <w:rPr>
                <w:rFonts w:cs="Arial"/>
                <w:bCs/>
                <w:sz w:val="20"/>
                <w:szCs w:val="20"/>
              </w:rPr>
              <w:t xml:space="preserve">,</w:t>
            </w:r>
            <w:r>
              <w:rPr>
                <w:rFonts w:cs="Arial"/>
                <w:bCs/>
                <w:sz w:val="20"/>
                <w:szCs w:val="20"/>
              </w:rPr>
              <w:t xml:space="preserve"> to other organs</w:t>
            </w:r>
            <w:r>
              <w:rPr>
                <w:rFonts w:cs="Arial"/>
                <w:bCs/>
                <w:sz w:val="20"/>
                <w:szCs w:val="20"/>
              </w:rPr>
              <w:t xml:space="preserve">, or ending in blind pouches, </w:t>
            </w:r>
            <w:r>
              <w:rPr>
                <w:rFonts w:cs="Arial"/>
                <w:bCs/>
                <w:sz w:val="20"/>
                <w:szCs w:val="20"/>
              </w:rPr>
              <w:t xml:space="preserve">occur in at least 50% of the patients.</w:t>
            </w:r>
            <w:r>
              <w:rPr>
                <w:rFonts w:cs="Arial"/>
                <w:bCs/>
                <w:sz w:val="20"/>
                <w:szCs w:val="20"/>
              </w:rPr>
              <w:t xml:space="preserve">  Inflammation of the serosa and mesentery causes bowel loops to be matted together.  </w:t>
            </w:r>
            <w:r>
              <w:rPr>
                <w:rFonts w:cs="Arial"/>
                <w:sz w:val="20"/>
                <w:szCs w:val="20"/>
              </w:rPr>
            </w:r>
          </w:p>
        </w:tc>
        <w:tc>
          <w:tcPr>
            <w:tcBorders/>
            <w:tcW w:w="3870" w:type="dxa"/>
            <w:textDirection w:val="lrTb"/>
            <w:noWrap w:val="false"/>
          </w:tcPr>
          <w:p>
            <w:pPr>
              <w:pBdr/>
              <w:spacing/>
              <w:ind/>
              <w:rPr>
                <w:rFonts w:cs="Arial"/>
                <w:sz w:val="20"/>
                <w:szCs w:val="20"/>
              </w:rPr>
            </w:pPr>
            <w:r>
              <w:rPr>
                <w:rFonts w:cs="Arial"/>
                <w:b/>
                <w:bCs/>
                <w:sz w:val="20"/>
                <w:szCs w:val="20"/>
              </w:rPr>
              <w:t xml:space="preserve">Radiographic indications:  </w:t>
            </w:r>
            <w:r>
              <w:rPr>
                <w:rFonts w:cs="Arial"/>
                <w:sz w:val="20"/>
                <w:szCs w:val="20"/>
              </w:rPr>
              <w:t xml:space="preserve">rigid thickening of ulcerated bowel wall causes the characteristic “cobblestone” appearance and “</w:t>
            </w:r>
            <w:r>
              <w:rPr>
                <w:rFonts w:cs="Arial"/>
                <w:sz w:val="20"/>
                <w:szCs w:val="20"/>
              </w:rPr>
              <w:t xml:space="preserve">pipe like</w:t>
            </w:r>
            <w:r>
              <w:rPr>
                <w:rFonts w:cs="Arial"/>
                <w:sz w:val="20"/>
                <w:szCs w:val="20"/>
              </w:rPr>
              <w:t xml:space="preserve">” narrowing in radiographs. As the disease progresses the affected bowel segments become rigid and narrow causing the “string” sign.</w:t>
            </w:r>
            <w:r>
              <w:rPr>
                <w:rFonts w:cs="Arial"/>
                <w:sz w:val="20"/>
                <w:szCs w:val="20"/>
              </w:rPr>
              <w:t xml:space="preserve"> Treated with medication (anti-inflammatories and antibiotics) or, in extreme cases, surgery</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024" w:type="dxa"/>
            <w:textDirection w:val="lrTb"/>
            <w:noWrap w:val="false"/>
          </w:tcPr>
          <w:p>
            <w:pPr>
              <w:pBdr/>
              <w:spacing/>
              <w:ind/>
              <w:rPr>
                <w:rFonts w:cs="Arial"/>
                <w:b/>
                <w:sz w:val="20"/>
                <w:szCs w:val="20"/>
              </w:rPr>
            </w:pPr>
            <w:r>
              <w:rPr>
                <w:rFonts w:cs="Arial"/>
                <w:b/>
                <w:sz w:val="20"/>
                <w:szCs w:val="20"/>
              </w:rPr>
              <w:t xml:space="preserve">Eisenberg </w:t>
            </w:r>
            <w:r>
              <w:rPr>
                <w:rFonts w:cs="Arial"/>
                <w:b/>
                <w:sz w:val="20"/>
                <w:szCs w:val="20"/>
              </w:rPr>
              <w:t xml:space="preserve">Fig. 5-4</w:t>
            </w:r>
            <w:r>
              <w:rPr>
                <w:rFonts w:cs="Arial"/>
                <w:b/>
                <w:sz w:val="20"/>
                <w:szCs w:val="20"/>
              </w:rPr>
              <w:t xml:space="preserve">3 and 5-44</w:t>
            </w:r>
            <w:r>
              <w:rPr>
                <w:rFonts w:cs="Arial"/>
                <w:b/>
                <w:sz w:val="20"/>
                <w:szCs w:val="20"/>
              </w:rPr>
              <w:t xml:space="preserve">, 5-46</w:t>
            </w:r>
            <w:r>
              <w:rPr>
                <w:rFonts w:cs="Arial"/>
                <w:b/>
                <w:sz w:val="20"/>
                <w:szCs w:val="20"/>
              </w:rPr>
            </w:r>
          </w:p>
        </w:tc>
      </w:tr>
      <w:tr>
        <w:trPr>
          <w:gridAfter w:val="1"/>
          <w:trHeight w:val="3871" w:hRule="exact"/>
        </w:trPr>
        <w:tc>
          <w:tcPr>
            <w:tcBorders/>
            <w:tcW w:w="1701" w:type="dxa"/>
            <w:textDirection w:val="lrTb"/>
            <w:noWrap w:val="false"/>
          </w:tcPr>
          <w:p>
            <w:pPr>
              <w:pBdr/>
              <w:spacing/>
              <w:ind/>
              <w:rPr>
                <w:rFonts w:cs="Arial"/>
                <w:b/>
                <w:sz w:val="20"/>
                <w:szCs w:val="20"/>
              </w:rPr>
            </w:pPr>
            <w:r>
              <w:rPr>
                <w:rFonts w:cs="Arial"/>
                <w:b/>
                <w:sz w:val="20"/>
                <w:szCs w:val="20"/>
              </w:rPr>
              <w:t xml:space="preserve">Small </w:t>
            </w:r>
            <w:r>
              <w:rPr>
                <w:rFonts w:cs="Arial"/>
                <w:b/>
                <w:sz w:val="20"/>
                <w:szCs w:val="20"/>
              </w:rPr>
              <w:t xml:space="preserve">Bowel obstruction</w:t>
            </w:r>
            <w:r>
              <w:rPr>
                <w:rFonts w:cs="Arial"/>
                <w:b/>
                <w:sz w:val="20"/>
                <w:szCs w:val="20"/>
              </w:rPr>
            </w:r>
          </w:p>
          <w:p>
            <w:pPr>
              <w:pBdr/>
              <w:spacing/>
              <w:ind/>
              <w:rPr>
                <w:rFonts w:cs="Arial"/>
                <w:sz w:val="20"/>
                <w:szCs w:val="20"/>
              </w:rPr>
            </w:pPr>
            <w:r>
              <w:rPr>
                <w:rFonts w:cs="Arial"/>
                <w:sz w:val="20"/>
                <w:szCs w:val="20"/>
              </w:rPr>
            </w:r>
            <w:r>
              <w:rPr>
                <w:rFonts w:cs="Arial"/>
                <w:sz w:val="20"/>
                <w:szCs w:val="20"/>
              </w:rPr>
            </w:r>
          </w:p>
        </w:tc>
        <w:tc>
          <w:tcPr>
            <w:tcBorders/>
            <w:tcW w:w="3402" w:type="dxa"/>
            <w:textDirection w:val="lrTb"/>
            <w:noWrap w:val="false"/>
          </w:tcPr>
          <w:p>
            <w:pPr>
              <w:pBdr/>
              <w:spacing/>
              <w:ind/>
              <w:rPr>
                <w:rFonts w:cs="Arial"/>
                <w:sz w:val="20"/>
                <w:szCs w:val="20"/>
              </w:rPr>
            </w:pPr>
            <w:r>
              <w:rPr>
                <w:rFonts w:cs="Arial"/>
                <w:b/>
                <w:bCs/>
                <w:sz w:val="20"/>
                <w:szCs w:val="20"/>
              </w:rPr>
              <w:t xml:space="preserve">What is it?</w:t>
            </w:r>
            <w:r>
              <w:rPr>
                <w:rFonts w:cs="Arial"/>
                <w:bCs/>
                <w:sz w:val="20"/>
                <w:szCs w:val="20"/>
              </w:rPr>
              <w:t xml:space="preserve"> </w:t>
            </w:r>
            <w:r>
              <w:rPr>
                <w:rFonts w:cs="Arial"/>
                <w:bCs/>
                <w:sz w:val="20"/>
                <w:szCs w:val="20"/>
              </w:rPr>
              <w:t xml:space="preserve">Bowel </w:t>
            </w:r>
            <w:r>
              <w:rPr>
                <w:rFonts w:cs="Arial"/>
                <w:sz w:val="20"/>
                <w:szCs w:val="20"/>
              </w:rPr>
              <w:t xml:space="preserve">blockage due to </w:t>
            </w:r>
            <w:r>
              <w:rPr>
                <w:rFonts w:cs="Arial"/>
                <w:sz w:val="20"/>
                <w:szCs w:val="20"/>
              </w:rPr>
              <w:t xml:space="preserve">a variety of conditions such as </w:t>
            </w:r>
            <w:r>
              <w:rPr>
                <w:rFonts w:cs="Arial"/>
                <w:sz w:val="20"/>
                <w:szCs w:val="20"/>
              </w:rPr>
              <w:t xml:space="preserve">hernia, tumors, </w:t>
            </w:r>
            <w:r>
              <w:rPr>
                <w:rFonts w:cs="Arial"/>
                <w:sz w:val="20"/>
                <w:szCs w:val="20"/>
              </w:rPr>
              <w:t xml:space="preserve">inflammation,  stones, or previous surgery</w:t>
            </w:r>
            <w:r>
              <w:rPr>
                <w:rFonts w:cs="Arial"/>
                <w:sz w:val="20"/>
                <w:szCs w:val="20"/>
              </w:rPr>
            </w:r>
          </w:p>
        </w:tc>
        <w:tc>
          <w:tcPr>
            <w:tcBorders/>
            <w:tcW w:w="3195" w:type="dxa"/>
            <w:textDirection w:val="lrTb"/>
            <w:noWrap w:val="false"/>
          </w:tcPr>
          <w:p>
            <w:pPr>
              <w:pBdr/>
              <w:spacing/>
              <w:ind/>
              <w:rPr>
                <w:rFonts w:cs="Arial"/>
                <w:sz w:val="20"/>
                <w:szCs w:val="20"/>
              </w:rPr>
            </w:pPr>
            <w:r>
              <w:rPr>
                <w:rFonts w:cs="Arial"/>
                <w:b/>
                <w:bCs/>
                <w:sz w:val="20"/>
                <w:szCs w:val="20"/>
              </w:rPr>
              <w:t xml:space="preserve">Symptoms/Complications:</w:t>
            </w:r>
            <w:r>
              <w:rPr>
                <w:rFonts w:cs="Arial"/>
                <w:bCs/>
                <w:sz w:val="20"/>
                <w:szCs w:val="20"/>
              </w:rPr>
              <w:t xml:space="preserve"> </w:t>
            </w:r>
            <w:r>
              <w:rPr>
                <w:rFonts w:cs="Arial"/>
                <w:bCs/>
                <w:sz w:val="20"/>
                <w:szCs w:val="20"/>
              </w:rPr>
              <w:t xml:space="preserve">Strangulation of the bowel from hernia or volvulus is the most serious complication. </w:t>
            </w:r>
            <w:r>
              <w:rPr>
                <w:rFonts w:cs="Arial"/>
                <w:sz w:val="20"/>
                <w:szCs w:val="20"/>
              </w:rPr>
            </w:r>
          </w:p>
        </w:tc>
        <w:tc>
          <w:tcPr>
            <w:tcBorders/>
            <w:tcW w:w="3870" w:type="dxa"/>
            <w:textDirection w:val="lrTb"/>
            <w:noWrap w:val="false"/>
          </w:tcPr>
          <w:p>
            <w:pPr>
              <w:pBdr/>
              <w:spacing/>
              <w:ind/>
              <w:rPr>
                <w:rFonts w:cs="Arial"/>
                <w:sz w:val="20"/>
                <w:szCs w:val="20"/>
              </w:rPr>
            </w:pPr>
            <w:r>
              <w:rPr>
                <w:rFonts w:cs="Arial"/>
                <w:b/>
                <w:bCs/>
                <w:sz w:val="20"/>
                <w:szCs w:val="20"/>
              </w:rPr>
              <w:t xml:space="preserve">Radiographic indications</w:t>
            </w:r>
            <w:r>
              <w:rPr>
                <w:rFonts w:cs="Arial"/>
                <w:b/>
                <w:bCs/>
                <w:sz w:val="20"/>
                <w:szCs w:val="20"/>
              </w:rPr>
              <w:t xml:space="preserve">:</w:t>
            </w:r>
            <w:r>
              <w:rPr>
                <w:rFonts w:cs="Arial"/>
                <w:bCs/>
                <w:sz w:val="20"/>
                <w:szCs w:val="20"/>
              </w:rPr>
              <w:t xml:space="preserve"> </w:t>
            </w:r>
            <w:r>
              <w:rPr>
                <w:rFonts w:cs="Arial"/>
                <w:bCs/>
                <w:sz w:val="20"/>
                <w:szCs w:val="20"/>
              </w:rPr>
              <w:t xml:space="preserve">3-5 hours after obstruction</w:t>
            </w:r>
            <w:r>
              <w:rPr>
                <w:rFonts w:cs="Arial"/>
                <w:bCs/>
                <w:sz w:val="20"/>
                <w:szCs w:val="20"/>
              </w:rPr>
              <w:t xml:space="preserve">, loops</w:t>
            </w:r>
            <w:r>
              <w:rPr>
                <w:rFonts w:cs="Arial"/>
                <w:bCs/>
                <w:sz w:val="20"/>
                <w:szCs w:val="20"/>
              </w:rPr>
              <w:t xml:space="preserve"> of bowel proximal to the blockage will </w:t>
            </w:r>
            <w:r>
              <w:rPr>
                <w:rFonts w:cs="Arial"/>
                <w:bCs/>
                <w:sz w:val="20"/>
                <w:szCs w:val="20"/>
              </w:rPr>
              <w:t xml:space="preserve">become distended and</w:t>
            </w:r>
            <w:r>
              <w:rPr>
                <w:rFonts w:cs="Arial"/>
                <w:bCs/>
                <w:sz w:val="20"/>
                <w:szCs w:val="20"/>
              </w:rPr>
              <w:t xml:space="preserve"> will show multiple gas/fluid levels. Most of the gas is from swallowed air. Bowel loops distal to the blockage will collapse.</w:t>
            </w:r>
            <w:r>
              <w:rPr>
                <w:rFonts w:cs="Arial"/>
                <w:bCs/>
                <w:sz w:val="20"/>
                <w:szCs w:val="20"/>
              </w:rPr>
              <w:t xml:space="preserve"> </w:t>
            </w:r>
            <w:r>
              <w:rPr>
                <w:rFonts w:cs="Arial"/>
                <w:sz w:val="20"/>
                <w:szCs w:val="20"/>
              </w:rPr>
              <w:t xml:space="preserve"> </w:t>
            </w:r>
            <w:r>
              <w:rPr>
                <w:rFonts w:cs="Arial"/>
                <w:sz w:val="20"/>
                <w:szCs w:val="20"/>
              </w:rPr>
              <w:t xml:space="preserve">A characteristic step-ladder appearance will be seen in proximal loops.  In patients with a complete small bowel obstruction almost no air will be seen in the colon.</w:t>
            </w:r>
            <w:r>
              <w:rPr>
                <w:rFonts w:cs="Arial"/>
                <w:sz w:val="20"/>
                <w:szCs w:val="20"/>
              </w:rPr>
              <w:t xml:space="preserve"> </w:t>
            </w:r>
            <w:r>
              <w:rPr>
                <w:rFonts w:cs="Arial"/>
                <w:sz w:val="20"/>
                <w:szCs w:val="20"/>
              </w:rPr>
              <w:t xml:space="preserve">CT</w:t>
            </w:r>
            <w:r>
              <w:rPr>
                <w:rFonts w:cs="Arial"/>
                <w:sz w:val="20"/>
                <w:szCs w:val="20"/>
              </w:rPr>
              <w:t xml:space="preserve">,</w:t>
            </w:r>
            <w:r>
              <w:rPr>
                <w:rFonts w:cs="Arial"/>
                <w:sz w:val="20"/>
                <w:szCs w:val="20"/>
              </w:rPr>
              <w:t xml:space="preserve"> or fluoroscopy with oral barium are best </w:t>
            </w:r>
            <w:r>
              <w:rPr>
                <w:rFonts w:cs="Arial"/>
                <w:sz w:val="20"/>
                <w:szCs w:val="20"/>
              </w:rPr>
              <w:t xml:space="preserve">imaging studies.</w:t>
            </w:r>
            <w:r>
              <w:rPr>
                <w:rFonts w:cs="Arial"/>
                <w:sz w:val="20"/>
                <w:szCs w:val="20"/>
              </w:rPr>
              <w:t xml:space="preserve"> </w:t>
            </w:r>
            <w:r>
              <w:rPr>
                <w:rFonts w:cs="Arial"/>
                <w:sz w:val="20"/>
                <w:szCs w:val="20"/>
              </w:rPr>
              <w:t xml:space="preserve">Surgery is commonly required.</w:t>
            </w:r>
            <w:r>
              <w:rPr>
                <w:rFonts w:cs="Arial"/>
                <w:sz w:val="20"/>
                <w:szCs w:val="20"/>
              </w:rPr>
            </w:r>
          </w:p>
        </w:tc>
        <w:tc>
          <w:tcPr>
            <w:tcBorders/>
            <w:tcW w:w="3024" w:type="dxa"/>
            <w:textDirection w:val="lrTb"/>
            <w:noWrap w:val="false"/>
          </w:tcPr>
          <w:p>
            <w:pPr>
              <w:pBdr/>
              <w:spacing/>
              <w:ind/>
              <w:rPr>
                <w:rFonts w:cs="Arial"/>
                <w:b/>
                <w:sz w:val="20"/>
                <w:szCs w:val="20"/>
              </w:rPr>
            </w:pPr>
            <w:r>
              <w:rPr>
                <w:rFonts w:cs="Arial"/>
                <w:b/>
                <w:sz w:val="20"/>
                <w:szCs w:val="20"/>
              </w:rPr>
              <w:t xml:space="preserve">Eisenberg fig. 5-47 thru 5-52</w:t>
            </w:r>
            <w:r>
              <w:rPr>
                <w:rFonts w:cs="Arial"/>
                <w:b/>
                <w:sz w:val="20"/>
                <w:szCs w:val="20"/>
              </w:rPr>
            </w:r>
          </w:p>
        </w:tc>
      </w:tr>
      <w:tr>
        <w:trPr>
          <w:gridAfter w:val="1"/>
          <w:trHeight w:val="2268" w:hRule="exact"/>
        </w:trPr>
        <w:tc>
          <w:tcPr>
            <w:tcBorders/>
            <w:tcW w:w="1701" w:type="dxa"/>
            <w:textDirection w:val="lrTb"/>
            <w:noWrap w:val="false"/>
          </w:tcPr>
          <w:p>
            <w:pPr>
              <w:pBdr/>
              <w:spacing/>
              <w:ind/>
              <w:rPr>
                <w:rFonts w:cs="Arial"/>
                <w:b/>
                <w:sz w:val="20"/>
                <w:szCs w:val="20"/>
              </w:rPr>
            </w:pPr>
            <w:r>
              <w:rPr>
                <w:rFonts w:cs="Arial"/>
                <w:b/>
                <w:sz w:val="20"/>
                <w:szCs w:val="20"/>
              </w:rPr>
              <w:t xml:space="preserve">Large bowel obstruction</w:t>
            </w:r>
            <w:r>
              <w:rPr>
                <w:rFonts w:cs="Arial"/>
                <w:b/>
                <w:sz w:val="20"/>
                <w:szCs w:val="20"/>
              </w:rPr>
            </w:r>
          </w:p>
        </w:tc>
        <w:tc>
          <w:tcPr>
            <w:tcBorders/>
            <w:tcW w:w="3402" w:type="dxa"/>
            <w:textDirection w:val="lrTb"/>
            <w:noWrap w:val="false"/>
          </w:tcPr>
          <w:p>
            <w:pPr>
              <w:pBdr/>
              <w:spacing/>
              <w:ind/>
              <w:rPr>
                <w:rFonts w:cs="Arial"/>
                <w:bCs/>
                <w:sz w:val="20"/>
                <w:szCs w:val="20"/>
              </w:rPr>
            </w:pPr>
            <w:r>
              <w:rPr>
                <w:rFonts w:cs="Arial"/>
                <w:b/>
                <w:bCs/>
                <w:sz w:val="20"/>
                <w:szCs w:val="20"/>
              </w:rPr>
              <w:t xml:space="preserve">What is it? </w:t>
            </w:r>
            <w:r>
              <w:rPr>
                <w:rFonts w:cs="Arial"/>
                <w:bCs/>
                <w:sz w:val="20"/>
                <w:szCs w:val="20"/>
              </w:rPr>
              <w:t xml:space="preserve">Blockage in the large bowel most commonly caused by bowel cancer. The severity depends on how competent the ileocecal valve is. </w:t>
            </w:r>
            <w:r>
              <w:rPr>
                <w:rFonts w:cs="Arial"/>
                <w:bCs/>
                <w:sz w:val="20"/>
                <w:szCs w:val="20"/>
              </w:rPr>
            </w:r>
          </w:p>
        </w:tc>
        <w:tc>
          <w:tcPr>
            <w:tcBorders/>
            <w:tcW w:w="3195" w:type="dxa"/>
            <w:textDirection w:val="lrTb"/>
            <w:noWrap w:val="false"/>
          </w:tcPr>
          <w:p>
            <w:pPr>
              <w:pBdr/>
              <w:spacing/>
              <w:ind/>
              <w:rPr>
                <w:rFonts w:cs="Arial"/>
                <w:bCs/>
                <w:sz w:val="20"/>
                <w:szCs w:val="20"/>
              </w:rPr>
            </w:pPr>
            <w:r>
              <w:rPr>
                <w:rFonts w:cs="Arial"/>
                <w:b/>
                <w:bCs/>
                <w:sz w:val="20"/>
                <w:szCs w:val="20"/>
              </w:rPr>
              <w:t xml:space="preserve">Symptoms/complications:</w:t>
            </w:r>
            <w:r>
              <w:rPr>
                <w:rFonts w:cs="Arial"/>
                <w:bCs/>
                <w:sz w:val="20"/>
                <w:szCs w:val="20"/>
              </w:rPr>
              <w:t xml:space="preserve"> Perforation is the main complication and it is most likely to occur in the cecum</w:t>
            </w:r>
            <w:r>
              <w:rPr>
                <w:rFonts w:cs="Arial"/>
                <w:bCs/>
                <w:sz w:val="20"/>
                <w:szCs w:val="20"/>
              </w:rPr>
            </w:r>
          </w:p>
        </w:tc>
        <w:tc>
          <w:tcPr>
            <w:tcBorders/>
            <w:tcW w:w="3870" w:type="dxa"/>
            <w:textDirection w:val="lrTb"/>
            <w:noWrap w:val="false"/>
          </w:tcPr>
          <w:p>
            <w:pPr>
              <w:pBdr/>
              <w:spacing/>
              <w:ind/>
              <w:rPr>
                <w:rFonts w:cs="Arial"/>
                <w:b/>
                <w:bCs/>
                <w:sz w:val="20"/>
                <w:szCs w:val="20"/>
              </w:rPr>
            </w:pPr>
            <w:r>
              <w:rPr>
                <w:rFonts w:cs="Arial"/>
                <w:b/>
                <w:bCs/>
                <w:sz w:val="20"/>
                <w:szCs w:val="20"/>
              </w:rPr>
              <w:t xml:space="preserve">Radiographic appearance: </w:t>
            </w:r>
            <w:r>
              <w:rPr>
                <w:rFonts w:cs="Arial"/>
                <w:bCs/>
                <w:sz w:val="20"/>
                <w:szCs w:val="20"/>
              </w:rPr>
              <w:t xml:space="preserve">If the IC valve is competent the colon will be greatly distended and there will be little or no gas in the small bowel. If the IC valve is not competent gas filled loops will be seen in the large and small bowels.</w:t>
            </w:r>
            <w:r>
              <w:rPr>
                <w:rFonts w:cs="Arial"/>
                <w:b/>
                <w:bCs/>
                <w:sz w:val="20"/>
                <w:szCs w:val="20"/>
              </w:rPr>
              <w:t xml:space="preserve">  </w:t>
            </w:r>
            <w:r>
              <w:rPr>
                <w:rFonts w:cs="Arial"/>
                <w:b/>
                <w:bCs/>
                <w:sz w:val="20"/>
                <w:szCs w:val="20"/>
              </w:rPr>
            </w:r>
          </w:p>
        </w:tc>
        <w:tc>
          <w:tcPr>
            <w:tcBorders/>
            <w:tcW w:w="3024" w:type="dxa"/>
            <w:textDirection w:val="lrTb"/>
            <w:noWrap w:val="false"/>
          </w:tcPr>
          <w:p>
            <w:pPr>
              <w:pBdr/>
              <w:spacing/>
              <w:ind/>
              <w:rPr>
                <w:rFonts w:cs="Arial"/>
                <w:b/>
                <w:sz w:val="20"/>
                <w:szCs w:val="20"/>
              </w:rPr>
            </w:pPr>
            <w:r>
              <w:rPr>
                <w:rFonts w:cs="Arial"/>
                <w:b/>
                <w:sz w:val="20"/>
                <w:szCs w:val="20"/>
              </w:rPr>
              <w:t xml:space="preserve">Eisenberg 5-81, 82, and 83</w:t>
            </w:r>
            <w:r>
              <w:rPr>
                <w:rFonts w:cs="Arial"/>
                <w:b/>
                <w:sz w:val="20"/>
                <w:szCs w:val="20"/>
              </w:rPr>
            </w:r>
          </w:p>
        </w:tc>
      </w:tr>
      <w:tr>
        <w:trPr>
          <w:gridAfter w:val="1"/>
          <w:trHeight w:val="1990" w:hRule="exact"/>
        </w:trPr>
        <w:tc>
          <w:tcPr>
            <w:tcBorders/>
            <w:tcW w:w="1701" w:type="dxa"/>
            <w:textDirection w:val="lrTb"/>
            <w:noWrap w:val="false"/>
          </w:tcPr>
          <w:p>
            <w:pPr>
              <w:pBdr/>
              <w:spacing/>
              <w:ind/>
              <w:rPr>
                <w:rFonts w:cs="Arial"/>
                <w:b/>
                <w:sz w:val="20"/>
                <w:szCs w:val="20"/>
              </w:rPr>
            </w:pPr>
            <w:r>
              <w:rPr>
                <w:rFonts w:cs="Arial"/>
                <w:b/>
                <w:sz w:val="20"/>
                <w:szCs w:val="20"/>
              </w:rPr>
              <w:t xml:space="preserve">Intussusception</w:t>
            </w:r>
            <w:r>
              <w:rPr>
                <w:rFonts w:cs="Arial"/>
                <w:b/>
                <w:sz w:val="20"/>
                <w:szCs w:val="20"/>
              </w:rPr>
            </w:r>
          </w:p>
          <w:p>
            <w:pPr>
              <w:pBdr/>
              <w:spacing/>
              <w:ind/>
              <w:rPr>
                <w:rFonts w:cs="Arial"/>
                <w:b/>
                <w:bCs/>
                <w:sz w:val="20"/>
                <w:szCs w:val="20"/>
              </w:rPr>
            </w:pPr>
            <w:r>
              <w:rPr>
                <w:rFonts w:cs="Arial"/>
                <w:b/>
                <w:bCs/>
                <w:sz w:val="20"/>
                <w:szCs w:val="20"/>
              </w:rPr>
            </w:r>
            <w:r>
              <w:rPr>
                <w:rFonts w:cs="Arial"/>
                <w:b/>
                <w:bCs/>
                <w:sz w:val="20"/>
                <w:szCs w:val="20"/>
              </w:rPr>
            </w:r>
          </w:p>
        </w:tc>
        <w:tc>
          <w:tcPr>
            <w:tcBorders/>
            <w:tcW w:w="3402" w:type="dxa"/>
            <w:textDirection w:val="lrTb"/>
            <w:noWrap w:val="false"/>
          </w:tcPr>
          <w:p>
            <w:pPr>
              <w:pBdr/>
              <w:spacing/>
              <w:ind/>
              <w:rPr>
                <w:rFonts w:cs="Arial"/>
                <w:sz w:val="20"/>
                <w:szCs w:val="20"/>
              </w:rPr>
            </w:pPr>
            <w:r>
              <w:rPr>
                <w:rFonts w:cs="Arial"/>
                <w:b/>
                <w:bCs/>
                <w:sz w:val="20"/>
                <w:szCs w:val="20"/>
              </w:rPr>
              <w:t xml:space="preserve">What is it? </w:t>
            </w:r>
            <w:r>
              <w:rPr>
                <w:rFonts w:cs="Arial"/>
                <w:bCs/>
                <w:sz w:val="20"/>
                <w:szCs w:val="20"/>
              </w:rPr>
              <w:t xml:space="preserve">Acute</w:t>
            </w:r>
            <w:r>
              <w:rPr>
                <w:rFonts w:cs="Arial"/>
                <w:bCs/>
                <w:sz w:val="20"/>
                <w:szCs w:val="20"/>
              </w:rPr>
              <w:t xml:space="preserve"> telescoping of one part of intestinal tract into another because of peristalsis. </w:t>
            </w:r>
            <w:r>
              <w:rPr>
                <w:rFonts w:cs="Arial"/>
                <w:bCs/>
                <w:sz w:val="20"/>
                <w:szCs w:val="20"/>
              </w:rPr>
              <w:t xml:space="preserve">Usually occurs near the ileocecal valve.</w:t>
            </w:r>
            <w:r>
              <w:rPr>
                <w:rFonts w:cs="Arial"/>
                <w:bCs/>
                <w:sz w:val="20"/>
                <w:szCs w:val="20"/>
              </w:rPr>
              <w:t xml:space="preserve"> A common cause of bowel </w:t>
            </w:r>
            <w:r>
              <w:rPr>
                <w:rFonts w:cs="Arial"/>
                <w:bCs/>
                <w:sz w:val="20"/>
                <w:szCs w:val="20"/>
              </w:rPr>
              <w:t xml:space="preserve">obstruction</w:t>
            </w:r>
            <w:r>
              <w:rPr>
                <w:rFonts w:cs="Arial"/>
                <w:bCs/>
                <w:sz w:val="20"/>
                <w:szCs w:val="20"/>
              </w:rPr>
              <w:t xml:space="preserve"> in children.  Less common in adults</w:t>
            </w:r>
            <w:r>
              <w:rPr>
                <w:rFonts w:cs="Arial"/>
                <w:sz w:val="20"/>
                <w:szCs w:val="20"/>
              </w:rPr>
            </w:r>
          </w:p>
        </w:tc>
        <w:tc>
          <w:tcPr>
            <w:tcBorders/>
            <w:tcW w:w="3195" w:type="dxa"/>
            <w:textDirection w:val="lrTb"/>
            <w:noWrap w:val="false"/>
          </w:tcPr>
          <w:p>
            <w:pPr>
              <w:pBdr/>
              <w:spacing/>
              <w:ind/>
              <w:rPr>
                <w:rFonts w:cs="Arial"/>
                <w:sz w:val="20"/>
                <w:szCs w:val="20"/>
              </w:rPr>
            </w:pPr>
            <w:r>
              <w:rPr>
                <w:rFonts w:cs="Arial"/>
                <w:b/>
                <w:bCs/>
                <w:sz w:val="20"/>
                <w:szCs w:val="20"/>
              </w:rPr>
              <w:t xml:space="preserve">Symptoms/complications:  </w:t>
            </w:r>
            <w:r>
              <w:rPr>
                <w:rFonts w:cs="Arial"/>
                <w:bCs/>
                <w:sz w:val="20"/>
                <w:szCs w:val="20"/>
              </w:rPr>
              <w:t xml:space="preserve">Severe abdominal pain, blood in stool and palpable mass in right side of abdomen. Can cause ischemic necrosis of affected segment. If treated within 48 hours prognosis is good.  In adults this is a chronic condition.</w:t>
            </w:r>
            <w:r>
              <w:rPr>
                <w:rFonts w:cs="Arial"/>
                <w:sz w:val="20"/>
                <w:szCs w:val="20"/>
              </w:rPr>
            </w:r>
          </w:p>
        </w:tc>
        <w:tc>
          <w:tcPr>
            <w:tcBorders/>
            <w:tcW w:w="3870" w:type="dxa"/>
            <w:textDirection w:val="lrTb"/>
            <w:noWrap w:val="false"/>
          </w:tcPr>
          <w:p>
            <w:pPr>
              <w:pBdr/>
              <w:spacing/>
              <w:ind/>
              <w:rPr>
                <w:rFonts w:cs="Arial"/>
                <w:sz w:val="20"/>
                <w:szCs w:val="20"/>
              </w:rPr>
            </w:pPr>
            <w:r>
              <w:rPr>
                <w:rFonts w:cs="Arial"/>
                <w:b/>
                <w:bCs/>
                <w:sz w:val="20"/>
                <w:szCs w:val="20"/>
              </w:rPr>
              <w:t xml:space="preserve">Radiographic Indications</w:t>
            </w:r>
            <w:r>
              <w:rPr>
                <w:rFonts w:cs="Arial"/>
                <w:b/>
                <w:bCs/>
                <w:sz w:val="20"/>
                <w:szCs w:val="20"/>
              </w:rPr>
              <w:t xml:space="preserve">:</w:t>
            </w:r>
            <w:r>
              <w:rPr>
                <w:rFonts w:cs="Arial"/>
                <w:sz w:val="20"/>
                <w:szCs w:val="20"/>
              </w:rPr>
              <w:t xml:space="preserve">  a “coiled spring” appearance on radiographs. Therapeutic barium enema can be used to reduce the bowel, but surgery may also be required.    </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024" w:type="dxa"/>
            <w:textDirection w:val="lrTb"/>
            <w:noWrap w:val="false"/>
          </w:tcPr>
          <w:p>
            <w:pPr>
              <w:pBdr/>
              <w:spacing/>
              <w:ind/>
              <w:rPr>
                <w:rFonts w:cs="Arial"/>
                <w:b/>
                <w:sz w:val="20"/>
                <w:szCs w:val="20"/>
              </w:rPr>
            </w:pPr>
            <w:r>
              <w:rPr>
                <w:rFonts w:cs="Arial"/>
                <w:b/>
                <w:sz w:val="20"/>
                <w:szCs w:val="20"/>
              </w:rPr>
              <w:t xml:space="preserve">Eisenberg </w:t>
            </w:r>
            <w:r>
              <w:rPr>
                <w:rFonts w:cs="Arial"/>
                <w:b/>
                <w:sz w:val="20"/>
                <w:szCs w:val="20"/>
              </w:rPr>
              <w:t xml:space="preserve">Fig. 5-5</w:t>
            </w:r>
            <w:r>
              <w:rPr>
                <w:rFonts w:cs="Arial"/>
                <w:b/>
                <w:sz w:val="20"/>
                <w:szCs w:val="20"/>
              </w:rPr>
              <w:t xml:space="preserve">6</w:t>
            </w:r>
            <w:r>
              <w:rPr>
                <w:rFonts w:cs="Arial"/>
                <w:b/>
                <w:sz w:val="20"/>
                <w:szCs w:val="20"/>
              </w:rPr>
            </w:r>
          </w:p>
        </w:tc>
      </w:tr>
      <w:tr>
        <w:trPr>
          <w:gridAfter w:val="1"/>
          <w:trHeight w:val="2071" w:hRule="exact"/>
        </w:trPr>
        <w:tc>
          <w:tcPr>
            <w:tcBorders/>
            <w:tcW w:w="1701" w:type="dxa"/>
            <w:textDirection w:val="lrTb"/>
            <w:noWrap w:val="false"/>
          </w:tcPr>
          <w:p>
            <w:pPr>
              <w:pBdr/>
              <w:spacing/>
              <w:ind/>
              <w:rPr>
                <w:rFonts w:cs="Arial"/>
                <w:b/>
                <w:sz w:val="20"/>
                <w:szCs w:val="20"/>
              </w:rPr>
            </w:pPr>
            <w:r>
              <w:rPr>
                <w:rFonts w:cs="Arial"/>
                <w:b/>
                <w:sz w:val="20"/>
                <w:szCs w:val="20"/>
              </w:rPr>
              <w:t xml:space="preserve">Volvulus</w:t>
            </w:r>
            <w:r>
              <w:rPr>
                <w:rFonts w:cs="Arial"/>
                <w:b/>
                <w:sz w:val="20"/>
                <w:szCs w:val="20"/>
              </w:rPr>
            </w:r>
          </w:p>
          <w:p>
            <w:pPr>
              <w:pBdr/>
              <w:spacing/>
              <w:ind/>
              <w:rPr>
                <w:rFonts w:cs="Arial"/>
                <w:b/>
                <w:bCs/>
                <w:sz w:val="20"/>
                <w:szCs w:val="20"/>
              </w:rPr>
            </w:pPr>
            <w:r>
              <w:rPr>
                <w:rFonts w:cs="Arial"/>
                <w:b/>
                <w:bCs/>
                <w:sz w:val="20"/>
                <w:szCs w:val="20"/>
              </w:rPr>
            </w:r>
            <w:r>
              <w:rPr>
                <w:rFonts w:cs="Arial"/>
                <w:b/>
                <w:bCs/>
                <w:sz w:val="20"/>
                <w:szCs w:val="20"/>
              </w:rPr>
            </w:r>
          </w:p>
        </w:tc>
        <w:tc>
          <w:tcPr>
            <w:tcBorders/>
            <w:tcW w:w="3402" w:type="dxa"/>
            <w:textDirection w:val="lrTb"/>
            <w:noWrap w:val="false"/>
          </w:tcPr>
          <w:p>
            <w:pPr>
              <w:pBdr/>
              <w:spacing/>
              <w:ind/>
              <w:rPr>
                <w:rFonts w:cs="Arial"/>
                <w:sz w:val="20"/>
                <w:szCs w:val="20"/>
              </w:rPr>
            </w:pPr>
            <w:r>
              <w:rPr>
                <w:rFonts w:cs="Arial"/>
                <w:b/>
                <w:bCs/>
                <w:sz w:val="20"/>
                <w:szCs w:val="20"/>
              </w:rPr>
              <w:t xml:space="preserve">What is it</w:t>
            </w:r>
            <w:r>
              <w:rPr>
                <w:rFonts w:cs="Arial"/>
                <w:bCs/>
                <w:sz w:val="20"/>
                <w:szCs w:val="20"/>
              </w:rPr>
              <w:t xml:space="preserve">? </w:t>
            </w:r>
            <w:r>
              <w:rPr>
                <w:rFonts w:cs="Arial"/>
                <w:bCs/>
                <w:sz w:val="20"/>
                <w:szCs w:val="20"/>
              </w:rPr>
              <w:t xml:space="preserve">Bowel</w:t>
            </w:r>
            <w:r>
              <w:rPr>
                <w:rFonts w:cs="Arial"/>
                <w:bCs/>
                <w:sz w:val="20"/>
                <w:szCs w:val="20"/>
              </w:rPr>
              <w:t xml:space="preserve"> blockage caused by a t</w:t>
            </w:r>
            <w:r>
              <w:rPr>
                <w:rFonts w:cs="Arial"/>
                <w:sz w:val="20"/>
                <w:szCs w:val="20"/>
              </w:rPr>
              <w:t xml:space="preserve">wisting of bowel around its mesentery. </w:t>
            </w:r>
            <w:r>
              <w:rPr>
                <w:rFonts w:cs="Arial"/>
                <w:sz w:val="20"/>
                <w:szCs w:val="20"/>
              </w:rPr>
              <w:t xml:space="preserve">Requires a long moveable mesentery so it most often occurs in the cecum and sigmoid colon</w:t>
            </w:r>
            <w:r>
              <w:rPr>
                <w:rFonts w:cs="Arial"/>
                <w:sz w:val="20"/>
                <w:szCs w:val="20"/>
              </w:rPr>
              <w:t xml:space="preserve">. </w:t>
            </w:r>
            <w:r>
              <w:rPr>
                <w:rFonts w:cs="Arial"/>
                <w:sz w:val="20"/>
                <w:szCs w:val="20"/>
              </w:rPr>
              <w:t xml:space="preserve">Rarely occurs in transverse colon because of its short mesentery. </w:t>
            </w:r>
            <w:r>
              <w:rPr>
                <w:rFonts w:cs="Arial"/>
                <w:sz w:val="20"/>
                <w:szCs w:val="20"/>
              </w:rPr>
              <w:t xml:space="preserve">Most commonly affects the elderly. </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195" w:type="dxa"/>
            <w:textDirection w:val="lrTb"/>
            <w:noWrap w:val="false"/>
          </w:tcPr>
          <w:p>
            <w:pPr>
              <w:pBdr/>
              <w:spacing/>
              <w:ind/>
              <w:rPr>
                <w:rFonts w:cs="Arial"/>
                <w:sz w:val="20"/>
                <w:szCs w:val="20"/>
              </w:rPr>
            </w:pPr>
            <w:r>
              <w:rPr>
                <w:rFonts w:cs="Arial"/>
                <w:b/>
                <w:bCs/>
                <w:sz w:val="20"/>
                <w:szCs w:val="20"/>
              </w:rPr>
              <w:t xml:space="preserve">Symptoms/complications:</w:t>
            </w:r>
            <w:r>
              <w:rPr>
                <w:rFonts w:cs="Arial"/>
                <w:sz w:val="20"/>
                <w:szCs w:val="20"/>
              </w:rPr>
              <w:t xml:space="preserve"> &gt;360˚ represents a surgical emergency as necrosis or perforation</w:t>
            </w:r>
            <w:r>
              <w:rPr>
                <w:rFonts w:cs="Arial"/>
                <w:sz w:val="20"/>
                <w:szCs w:val="20"/>
              </w:rPr>
              <w:t xml:space="preserve"> of bowel</w:t>
            </w:r>
            <w:r>
              <w:rPr>
                <w:rFonts w:cs="Arial"/>
                <w:sz w:val="20"/>
                <w:szCs w:val="20"/>
              </w:rPr>
              <w:t xml:space="preserve"> is life</w:t>
            </w:r>
            <w:r>
              <w:rPr>
                <w:rFonts w:cs="Arial"/>
                <w:sz w:val="20"/>
                <w:szCs w:val="20"/>
              </w:rPr>
              <w:t xml:space="preserve">-</w:t>
            </w:r>
            <w:r>
              <w:rPr>
                <w:rFonts w:cs="Arial"/>
                <w:sz w:val="20"/>
                <w:szCs w:val="20"/>
              </w:rPr>
              <w:t xml:space="preserve"> threatening. </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870" w:type="dxa"/>
            <w:textDirection w:val="lrTb"/>
            <w:noWrap w:val="false"/>
          </w:tcPr>
          <w:p>
            <w:pPr>
              <w:pBdr/>
              <w:spacing/>
              <w:ind/>
              <w:rPr>
                <w:rFonts w:cs="Arial"/>
                <w:sz w:val="20"/>
                <w:szCs w:val="20"/>
              </w:rPr>
            </w:pPr>
            <w:r>
              <w:rPr>
                <w:rFonts w:cs="Arial"/>
                <w:b/>
                <w:bCs/>
                <w:sz w:val="20"/>
                <w:szCs w:val="20"/>
              </w:rPr>
              <w:t xml:space="preserve">Radiographic indications:  </w:t>
            </w:r>
            <w:r>
              <w:rPr>
                <w:rFonts w:cs="Arial"/>
                <w:sz w:val="20"/>
                <w:szCs w:val="20"/>
              </w:rPr>
              <w:t xml:space="preserve">Surgery is usually required</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024" w:type="dxa"/>
            <w:textDirection w:val="lrTb"/>
            <w:noWrap w:val="false"/>
          </w:tcPr>
          <w:p>
            <w:pPr>
              <w:pBdr/>
              <w:spacing/>
              <w:ind/>
              <w:rPr>
                <w:rFonts w:cs="Arial"/>
                <w:sz w:val="20"/>
                <w:szCs w:val="20"/>
              </w:rPr>
            </w:pPr>
            <w:r>
              <w:rPr>
                <w:rFonts w:cs="Arial"/>
                <w:sz w:val="20"/>
                <w:szCs w:val="20"/>
              </w:rPr>
              <w:t xml:space="preserve">No significant images.</w:t>
            </w:r>
            <w:r>
              <w:rPr>
                <w:rFonts w:cs="Arial"/>
                <w:sz w:val="20"/>
                <w:szCs w:val="20"/>
              </w:rPr>
            </w:r>
          </w:p>
        </w:tc>
      </w:tr>
      <w:tr>
        <w:trPr>
          <w:gridAfter w:val="1"/>
          <w:trHeight w:val="1981" w:hRule="exact"/>
        </w:trPr>
        <w:tc>
          <w:tcPr>
            <w:tcBorders/>
            <w:tcW w:w="1701" w:type="dxa"/>
            <w:textDirection w:val="lrTb"/>
            <w:noWrap w:val="false"/>
          </w:tcPr>
          <w:p>
            <w:pPr>
              <w:pBdr/>
              <w:spacing/>
              <w:ind/>
              <w:rPr>
                <w:rFonts w:cs="Arial"/>
                <w:b/>
                <w:sz w:val="20"/>
                <w:szCs w:val="20"/>
              </w:rPr>
            </w:pPr>
            <w:r>
              <w:rPr>
                <w:rFonts w:cs="Arial"/>
                <w:b/>
                <w:sz w:val="20"/>
                <w:szCs w:val="20"/>
              </w:rPr>
              <w:t xml:space="preserve">Adynamic </w:t>
            </w:r>
            <w:r>
              <w:rPr>
                <w:rFonts w:cs="Arial"/>
                <w:b/>
                <w:sz w:val="20"/>
                <w:szCs w:val="20"/>
              </w:rPr>
              <w:t xml:space="preserve">Ileus</w:t>
            </w:r>
            <w:r>
              <w:rPr>
                <w:rFonts w:cs="Arial"/>
                <w:b/>
                <w:sz w:val="20"/>
                <w:szCs w:val="20"/>
              </w:rPr>
            </w:r>
          </w:p>
        </w:tc>
        <w:tc>
          <w:tcPr>
            <w:tcBorders/>
            <w:tcW w:w="3402" w:type="dxa"/>
            <w:textDirection w:val="lrTb"/>
            <w:noWrap w:val="false"/>
          </w:tcPr>
          <w:p>
            <w:pPr>
              <w:pBdr/>
              <w:spacing/>
              <w:ind/>
              <w:rPr>
                <w:rFonts w:cs="Arial"/>
                <w:sz w:val="20"/>
                <w:szCs w:val="20"/>
              </w:rPr>
            </w:pPr>
            <w:r>
              <w:rPr>
                <w:rFonts w:cs="Arial"/>
                <w:b/>
                <w:sz w:val="20"/>
                <w:szCs w:val="20"/>
              </w:rPr>
              <w:t xml:space="preserve">What is it? </w:t>
            </w:r>
            <w:r>
              <w:rPr>
                <w:rFonts w:cs="Arial"/>
                <w:sz w:val="20"/>
                <w:szCs w:val="20"/>
              </w:rPr>
              <w:t xml:space="preserve">Compromised motility in the small and large bowels, due </w:t>
            </w:r>
            <w:r>
              <w:rPr>
                <w:rFonts w:cs="Arial"/>
                <w:sz w:val="20"/>
                <w:szCs w:val="20"/>
              </w:rPr>
              <w:t xml:space="preserve">to neural</w:t>
            </w:r>
            <w:r>
              <w:rPr>
                <w:rFonts w:cs="Arial"/>
                <w:sz w:val="20"/>
                <w:szCs w:val="20"/>
              </w:rPr>
              <w:t xml:space="preserve">, hormonal, metabolic or physical causes. Almost always occurs after abdominal surgery.</w:t>
            </w:r>
            <w:r>
              <w:rPr>
                <w:rFonts w:cs="Arial"/>
                <w:b/>
                <w:sz w:val="20"/>
                <w:szCs w:val="20"/>
              </w:rPr>
              <w:t xml:space="preserve"> </w:t>
            </w:r>
            <w:r>
              <w:rPr>
                <w:rFonts w:cs="Arial"/>
                <w:sz w:val="20"/>
                <w:szCs w:val="20"/>
              </w:rPr>
            </w:r>
          </w:p>
        </w:tc>
        <w:tc>
          <w:tcPr>
            <w:tcBorders/>
            <w:tcW w:w="3195" w:type="dxa"/>
            <w:textDirection w:val="lrTb"/>
            <w:noWrap w:val="false"/>
          </w:tcPr>
          <w:p>
            <w:pPr>
              <w:pBdr/>
              <w:spacing/>
              <w:ind/>
              <w:rPr>
                <w:rFonts w:cs="Arial"/>
                <w:sz w:val="20"/>
                <w:szCs w:val="20"/>
              </w:rPr>
            </w:pPr>
            <w:r>
              <w:rPr>
                <w:rFonts w:cs="Arial"/>
                <w:b/>
                <w:bCs/>
                <w:sz w:val="20"/>
                <w:szCs w:val="20"/>
              </w:rPr>
              <w:t xml:space="preserve">Symptoms/complications: </w:t>
            </w:r>
            <w:r>
              <w:rPr>
                <w:rFonts w:cs="Arial"/>
                <w:bCs/>
                <w:sz w:val="20"/>
                <w:szCs w:val="20"/>
              </w:rPr>
              <w:t xml:space="preserve">May occur in a localized bowel loop that is adjacent to inflamed tissues.  For </w:t>
            </w:r>
            <w:r>
              <w:rPr>
                <w:rFonts w:cs="Arial"/>
                <w:bCs/>
                <w:sz w:val="20"/>
                <w:szCs w:val="20"/>
              </w:rPr>
              <w:t xml:space="preserve">e.g.</w:t>
            </w:r>
            <w:r>
              <w:rPr>
                <w:rFonts w:cs="Arial"/>
                <w:bCs/>
                <w:sz w:val="20"/>
                <w:szCs w:val="20"/>
              </w:rPr>
              <w:t xml:space="preserve"> The transverse colon can become adynamic during acute pancreatitis.</w:t>
            </w:r>
            <w:r>
              <w:rPr>
                <w:rFonts w:cs="Arial"/>
                <w:sz w:val="20"/>
                <w:szCs w:val="20"/>
              </w:rPr>
            </w:r>
          </w:p>
        </w:tc>
        <w:tc>
          <w:tcPr>
            <w:tcBorders/>
            <w:tcW w:w="3870" w:type="dxa"/>
            <w:textDirection w:val="lrTb"/>
            <w:noWrap w:val="false"/>
          </w:tcPr>
          <w:p>
            <w:pPr>
              <w:pBdr/>
              <w:spacing/>
              <w:ind/>
              <w:rPr>
                <w:rFonts w:cs="Arial"/>
                <w:sz w:val="20"/>
                <w:szCs w:val="20"/>
              </w:rPr>
            </w:pPr>
            <w:r>
              <w:rPr>
                <w:rFonts w:cs="Arial"/>
                <w:b/>
                <w:bCs/>
                <w:sz w:val="20"/>
                <w:szCs w:val="20"/>
              </w:rPr>
              <w:t xml:space="preserve">Radiographic indications:  </w:t>
            </w:r>
            <w:r>
              <w:rPr>
                <w:rFonts w:cs="Arial"/>
                <w:bCs/>
                <w:sz w:val="20"/>
                <w:szCs w:val="20"/>
              </w:rPr>
              <w:t xml:space="preserve">The radiographic hallmark is air fluid levels in both the small and large bowel with no obvious point of obstruction indicated.</w:t>
            </w:r>
            <w:r>
              <w:rPr>
                <w:rFonts w:cs="Arial"/>
                <w:bCs/>
                <w:sz w:val="20"/>
                <w:szCs w:val="20"/>
              </w:rPr>
              <w:t xml:space="preserve"> If caused by surgery it should resolve in 36 - 48 hours. An NG tube can be used to aspirate the stomach and decompress the bowel allowing the intestine to rest. </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024" w:type="dxa"/>
            <w:textDirection w:val="lrTb"/>
            <w:noWrap w:val="false"/>
          </w:tcPr>
          <w:p>
            <w:pPr>
              <w:pBdr/>
              <w:spacing/>
              <w:ind/>
              <w:rPr>
                <w:rFonts w:cs="Arial"/>
                <w:sz w:val="20"/>
                <w:szCs w:val="20"/>
              </w:rPr>
            </w:pPr>
            <w:r>
              <w:rPr>
                <w:rFonts w:cs="Arial"/>
                <w:sz w:val="20"/>
                <w:szCs w:val="20"/>
              </w:rPr>
            </w:r>
            <w:r>
              <w:rPr>
                <w:rFonts w:cs="Arial"/>
                <w:sz w:val="20"/>
                <w:szCs w:val="20"/>
              </w:rPr>
            </w:r>
          </w:p>
        </w:tc>
      </w:tr>
      <w:tr>
        <w:trPr>
          <w:gridAfter w:val="1"/>
          <w:trHeight w:val="2701" w:hRule="exact"/>
        </w:trPr>
        <w:tc>
          <w:tcPr>
            <w:tcBorders/>
            <w:tcW w:w="1701" w:type="dxa"/>
            <w:textDirection w:val="lrTb"/>
            <w:noWrap w:val="false"/>
          </w:tcPr>
          <w:p>
            <w:pPr>
              <w:pBdr/>
              <w:spacing/>
              <w:ind/>
              <w:rPr>
                <w:rFonts w:cs="Arial"/>
                <w:b/>
                <w:sz w:val="20"/>
                <w:szCs w:val="20"/>
              </w:rPr>
            </w:pPr>
            <w:r>
              <w:rPr>
                <w:rFonts w:cs="Arial"/>
                <w:b/>
                <w:sz w:val="20"/>
                <w:szCs w:val="20"/>
              </w:rPr>
              <w:t xml:space="preserve">Diverticulosis</w:t>
            </w:r>
            <w:r>
              <w:rPr>
                <w:rFonts w:cs="Arial"/>
                <w:b/>
                <w:sz w:val="20"/>
                <w:szCs w:val="20"/>
              </w:rPr>
            </w:r>
          </w:p>
        </w:tc>
        <w:tc>
          <w:tcPr>
            <w:tcBorders/>
            <w:tcW w:w="3402" w:type="dxa"/>
            <w:textDirection w:val="lrTb"/>
            <w:noWrap w:val="false"/>
          </w:tcPr>
          <w:p>
            <w:pPr>
              <w:pBdr/>
              <w:spacing/>
              <w:ind/>
              <w:rPr>
                <w:rFonts w:cs="Arial"/>
                <w:bCs/>
                <w:sz w:val="20"/>
                <w:szCs w:val="20"/>
              </w:rPr>
            </w:pPr>
            <w:r>
              <w:rPr>
                <w:rFonts w:cs="Arial"/>
                <w:b/>
                <w:bCs/>
                <w:sz w:val="20"/>
                <w:szCs w:val="20"/>
              </w:rPr>
              <w:t xml:space="preserve">What is it? </w:t>
            </w:r>
            <w:r>
              <w:rPr>
                <w:rFonts w:cs="Arial"/>
                <w:bCs/>
                <w:sz w:val="20"/>
                <w:szCs w:val="20"/>
              </w:rPr>
              <w:t xml:space="preserve">Colonic outpouchings caused by </w:t>
            </w:r>
            <w:r>
              <w:rPr>
                <w:rFonts w:cs="Arial"/>
                <w:bCs/>
                <w:sz w:val="20"/>
                <w:szCs w:val="20"/>
              </w:rPr>
              <w:t xml:space="preserve">herniation</w:t>
            </w:r>
            <w:r>
              <w:rPr>
                <w:rFonts w:cs="Arial"/>
                <w:bCs/>
                <w:sz w:val="20"/>
                <w:szCs w:val="20"/>
              </w:rPr>
              <w:t xml:space="preserve"> of mucosa and submucosa through the muscularis at points of weakness in the bowel wall.  Occurs in older individuals with low fiber diet who strain when evacuating. Most common in the sigmoid colon</w:t>
            </w:r>
            <w:r>
              <w:rPr>
                <w:rFonts w:cs="Arial"/>
                <w:bCs/>
                <w:sz w:val="20"/>
                <w:szCs w:val="20"/>
              </w:rPr>
              <w:t xml:space="preserve">.</w:t>
            </w:r>
            <w:r>
              <w:rPr>
                <w:rFonts w:cs="Arial"/>
                <w:bCs/>
                <w:sz w:val="20"/>
                <w:szCs w:val="20"/>
              </w:rPr>
            </w:r>
          </w:p>
          <w:p>
            <w:pPr>
              <w:pBdr/>
              <w:spacing/>
              <w:ind/>
              <w:rPr>
                <w:rFonts w:cs="Arial"/>
                <w:b/>
                <w:bCs/>
                <w:sz w:val="20"/>
                <w:szCs w:val="20"/>
              </w:rPr>
            </w:pPr>
            <w:r>
              <w:rPr>
                <w:rFonts w:cs="Arial"/>
                <w:b/>
                <w:bCs/>
                <w:sz w:val="20"/>
                <w:szCs w:val="20"/>
              </w:rPr>
              <w:t xml:space="preserve">Diverticulitis</w:t>
            </w:r>
            <w:r>
              <w:rPr>
                <w:rFonts w:cs="Arial"/>
                <w:bCs/>
                <w:sz w:val="20"/>
                <w:szCs w:val="20"/>
              </w:rPr>
              <w:t xml:space="preserve"> is a necrosing inflammation of the diverticula caused by abscessing of trapped fecal material</w:t>
            </w:r>
            <w:r>
              <w:rPr>
                <w:rFonts w:cs="Arial"/>
                <w:b/>
                <w:bCs/>
                <w:sz w:val="20"/>
                <w:szCs w:val="20"/>
              </w:rPr>
            </w:r>
          </w:p>
        </w:tc>
        <w:tc>
          <w:tcPr>
            <w:tcBorders/>
            <w:tcW w:w="3195" w:type="dxa"/>
            <w:textDirection w:val="lrTb"/>
            <w:noWrap w:val="false"/>
          </w:tcPr>
          <w:p>
            <w:pPr>
              <w:pBdr/>
              <w:spacing/>
              <w:ind/>
              <w:rPr>
                <w:rFonts w:cs="Arial"/>
                <w:b/>
                <w:bCs/>
                <w:sz w:val="20"/>
                <w:szCs w:val="20"/>
              </w:rPr>
            </w:pPr>
            <w:r>
              <w:rPr>
                <w:rFonts w:cs="Arial"/>
                <w:b/>
                <w:bCs/>
                <w:sz w:val="20"/>
                <w:szCs w:val="20"/>
              </w:rPr>
              <w:t xml:space="preserve">Symptoms/complications: </w:t>
            </w:r>
            <w:r>
              <w:rPr>
                <w:rFonts w:cs="Arial"/>
                <w:bCs/>
                <w:sz w:val="20"/>
                <w:szCs w:val="20"/>
              </w:rPr>
              <w:t xml:space="preserve">Often none, but may have chronic or intermittent lower abdominal pain around meals</w:t>
            </w:r>
            <w:r>
              <w:rPr>
                <w:rFonts w:cs="Arial"/>
                <w:bCs/>
                <w:sz w:val="20"/>
                <w:szCs w:val="20"/>
              </w:rPr>
              <w:t xml:space="preserve">.</w:t>
            </w:r>
            <w:r>
              <w:rPr>
                <w:rFonts w:cs="Arial"/>
                <w:b/>
                <w:bCs/>
                <w:sz w:val="20"/>
                <w:szCs w:val="20"/>
              </w:rPr>
            </w:r>
          </w:p>
          <w:p>
            <w:pPr>
              <w:pBdr/>
              <w:spacing/>
              <w:ind/>
              <w:rPr>
                <w:rFonts w:cs="Arial"/>
                <w:sz w:val="20"/>
                <w:szCs w:val="20"/>
              </w:rPr>
            </w:pPr>
            <w:r>
              <w:rPr>
                <w:rFonts w:cs="Arial"/>
                <w:sz w:val="20"/>
                <w:szCs w:val="20"/>
              </w:rPr>
            </w:r>
            <w:r>
              <w:rPr>
                <w:rFonts w:cs="Arial"/>
                <w:sz w:val="20"/>
                <w:szCs w:val="20"/>
              </w:rPr>
            </w:r>
          </w:p>
          <w:p>
            <w:pPr>
              <w:pBdr/>
              <w:spacing/>
              <w:ind/>
              <w:rPr>
                <w:rFonts w:cs="Arial"/>
                <w:sz w:val="20"/>
                <w:szCs w:val="20"/>
              </w:rPr>
            </w:pPr>
            <w:r>
              <w:rPr>
                <w:rFonts w:cs="Arial"/>
                <w:sz w:val="20"/>
                <w:szCs w:val="20"/>
              </w:rPr>
            </w:r>
            <w:r>
              <w:rPr>
                <w:rFonts w:cs="Arial"/>
                <w:sz w:val="20"/>
                <w:szCs w:val="20"/>
              </w:rPr>
            </w:r>
          </w:p>
          <w:p>
            <w:pPr>
              <w:pBdr/>
              <w:spacing/>
              <w:ind/>
              <w:rPr>
                <w:rFonts w:cs="Arial"/>
                <w:sz w:val="20"/>
                <w:szCs w:val="20"/>
              </w:rPr>
            </w:pPr>
            <w:r>
              <w:rPr>
                <w:rFonts w:cs="Arial"/>
                <w:sz w:val="20"/>
                <w:szCs w:val="20"/>
              </w:rPr>
              <w:t xml:space="preserve">Peridiverticular abscesses can be walled off by fibrous adhesions. May lead to inflammation </w:t>
            </w:r>
            <w:r>
              <w:rPr>
                <w:rFonts w:cs="Arial"/>
                <w:sz w:val="20"/>
                <w:szCs w:val="20"/>
              </w:rPr>
              <w:t xml:space="preserve">of</w:t>
            </w:r>
            <w:r>
              <w:rPr>
                <w:rFonts w:cs="Arial"/>
                <w:sz w:val="20"/>
                <w:szCs w:val="20"/>
              </w:rPr>
              <w:t xml:space="preserve"> colon wall </w:t>
            </w:r>
            <w:r>
              <w:rPr>
                <w:rFonts w:cs="Arial"/>
                <w:sz w:val="20"/>
                <w:szCs w:val="20"/>
              </w:rPr>
            </w:r>
          </w:p>
        </w:tc>
        <w:tc>
          <w:tcPr>
            <w:tcBorders/>
            <w:tcW w:w="3870" w:type="dxa"/>
            <w:textDirection w:val="lrTb"/>
            <w:noWrap w:val="false"/>
          </w:tcPr>
          <w:p>
            <w:pPr>
              <w:pBdr/>
              <w:spacing/>
              <w:ind/>
              <w:rPr>
                <w:rFonts w:cs="Arial"/>
                <w:b/>
                <w:bCs/>
                <w:sz w:val="20"/>
                <w:szCs w:val="20"/>
              </w:rPr>
            </w:pPr>
            <w:r>
              <w:rPr>
                <w:rFonts w:cs="Arial"/>
                <w:b/>
                <w:bCs/>
                <w:sz w:val="20"/>
                <w:szCs w:val="20"/>
              </w:rPr>
              <w:t xml:space="preserve">Radiographic indications:  </w:t>
            </w:r>
            <w:r>
              <w:rPr>
                <w:rFonts w:cs="Arial"/>
                <w:bCs/>
                <w:sz w:val="20"/>
                <w:szCs w:val="20"/>
              </w:rPr>
              <w:t xml:space="preserve">Barium filled </w:t>
            </w:r>
            <w:r>
              <w:rPr>
                <w:rFonts w:cs="Arial"/>
                <w:bCs/>
                <w:sz w:val="20"/>
                <w:szCs w:val="20"/>
              </w:rPr>
              <w:t xml:space="preserve">diverticula</w:t>
            </w:r>
            <w:r>
              <w:rPr>
                <w:rFonts w:cs="Arial"/>
                <w:bCs/>
                <w:sz w:val="20"/>
                <w:szCs w:val="20"/>
              </w:rPr>
              <w:t xml:space="preserve"> are visible on contrast studies, ranging from 2 -25 cm.</w:t>
            </w:r>
            <w:r>
              <w:rPr>
                <w:rFonts w:cs="Arial"/>
                <w:bCs/>
                <w:sz w:val="20"/>
                <w:szCs w:val="20"/>
              </w:rPr>
              <w:t xml:space="preserve"> Noninvasive treatments: no seeds, nuts, popcorn, and etc. and exercise to increase peristalsis, antibiotics are most common. Surgery may be required.</w:t>
            </w:r>
            <w:r>
              <w:rPr>
                <w:rFonts w:cs="Arial"/>
                <w:b/>
                <w:bCs/>
                <w:sz w:val="20"/>
                <w:szCs w:val="20"/>
              </w:rPr>
            </w:r>
          </w:p>
        </w:tc>
        <w:tc>
          <w:tcPr>
            <w:tcBorders/>
            <w:tcW w:w="3024" w:type="dxa"/>
            <w:textDirection w:val="lrTb"/>
            <w:noWrap w:val="false"/>
          </w:tcPr>
          <w:p>
            <w:pPr>
              <w:pBdr/>
              <w:spacing/>
              <w:ind/>
              <w:rPr>
                <w:rFonts w:cs="Arial"/>
                <w:b/>
                <w:sz w:val="20"/>
                <w:szCs w:val="20"/>
              </w:rPr>
            </w:pPr>
            <w:r>
              <w:rPr>
                <w:rFonts w:cs="Arial"/>
                <w:b/>
                <w:sz w:val="20"/>
                <w:szCs w:val="20"/>
              </w:rPr>
              <w:t xml:space="preserve">Eisenberg 5-64, 65, 66</w:t>
            </w:r>
            <w:r>
              <w:rPr>
                <w:rFonts w:cs="Arial"/>
                <w:b/>
                <w:sz w:val="20"/>
                <w:szCs w:val="20"/>
              </w:rPr>
            </w:r>
          </w:p>
        </w:tc>
      </w:tr>
      <w:tr>
        <w:trPr>
          <w:gridAfter w:val="1"/>
          <w:trHeight w:val="2701" w:hRule="exact"/>
        </w:trPr>
        <w:tc>
          <w:tcPr>
            <w:tcBorders/>
            <w:tcW w:w="1701" w:type="dxa"/>
            <w:textDirection w:val="lrTb"/>
            <w:noWrap w:val="false"/>
          </w:tcPr>
          <w:p>
            <w:pPr>
              <w:pBdr/>
              <w:spacing/>
              <w:ind/>
              <w:rPr>
                <w:rFonts w:cs="Arial"/>
                <w:b/>
                <w:sz w:val="20"/>
                <w:szCs w:val="20"/>
              </w:rPr>
            </w:pPr>
            <w:r>
              <w:rPr>
                <w:rFonts w:cs="Arial"/>
                <w:b/>
                <w:sz w:val="20"/>
                <w:szCs w:val="20"/>
              </w:rPr>
              <w:t xml:space="preserve">Diverticulitis</w:t>
            </w:r>
            <w:r>
              <w:rPr>
                <w:rFonts w:cs="Arial"/>
                <w:b/>
                <w:sz w:val="20"/>
                <w:szCs w:val="20"/>
              </w:rPr>
            </w:r>
          </w:p>
        </w:tc>
        <w:tc>
          <w:tcPr>
            <w:tcBorders/>
            <w:tcW w:w="3402" w:type="dxa"/>
            <w:textDirection w:val="lrTb"/>
            <w:noWrap w:val="false"/>
          </w:tcPr>
          <w:p>
            <w:pPr>
              <w:pBdr/>
              <w:spacing/>
              <w:ind/>
              <w:rPr>
                <w:rFonts w:cs="Arial"/>
                <w:b/>
                <w:bCs/>
                <w:sz w:val="20"/>
                <w:szCs w:val="20"/>
              </w:rPr>
            </w:pPr>
            <w:r>
              <w:rPr>
                <w:rFonts w:cs="Arial"/>
                <w:b/>
                <w:bCs/>
                <w:sz w:val="20"/>
                <w:szCs w:val="20"/>
              </w:rPr>
              <w:t xml:space="preserve">What is it? </w:t>
            </w:r>
            <w:r>
              <w:rPr>
                <w:rFonts w:cs="Arial"/>
                <w:bCs/>
                <w:sz w:val="20"/>
                <w:szCs w:val="20"/>
              </w:rPr>
              <w:t xml:space="preserve"> a necrosing inflammation of the diverticula caused by abscessing of trapped fecal material</w:t>
            </w:r>
            <w:r>
              <w:rPr>
                <w:rFonts w:cs="Arial"/>
                <w:b/>
                <w:bCs/>
                <w:sz w:val="20"/>
                <w:szCs w:val="20"/>
              </w:rPr>
            </w:r>
          </w:p>
        </w:tc>
        <w:tc>
          <w:tcPr>
            <w:tcBorders/>
            <w:tcW w:w="3195" w:type="dxa"/>
            <w:textDirection w:val="lrTb"/>
            <w:noWrap w:val="false"/>
          </w:tcPr>
          <w:p>
            <w:pPr>
              <w:pBdr/>
              <w:spacing/>
              <w:ind/>
              <w:rPr>
                <w:rFonts w:cs="Arial"/>
                <w:sz w:val="20"/>
                <w:szCs w:val="20"/>
              </w:rPr>
            </w:pPr>
            <w:r>
              <w:rPr>
                <w:rFonts w:cs="Arial"/>
                <w:b/>
                <w:bCs/>
                <w:sz w:val="20"/>
                <w:szCs w:val="20"/>
              </w:rPr>
              <w:t xml:space="preserve">Symptoms/complications: </w:t>
            </w:r>
            <w:r>
              <w:rPr>
                <w:rFonts w:cs="Arial"/>
                <w:sz w:val="20"/>
                <w:szCs w:val="20"/>
              </w:rPr>
            </w:r>
          </w:p>
          <w:p>
            <w:pPr>
              <w:pBdr/>
              <w:spacing/>
              <w:ind/>
              <w:rPr>
                <w:rFonts w:cs="Arial"/>
                <w:sz w:val="20"/>
                <w:szCs w:val="20"/>
              </w:rPr>
            </w:pPr>
            <w:r>
              <w:rPr>
                <w:rFonts w:cs="Arial"/>
                <w:sz w:val="20"/>
                <w:szCs w:val="20"/>
              </w:rPr>
              <w:t xml:space="preserve">Peridiverticular abscesses can be walled off by fibrous adhesions. May lead to inflammation of colon wall, fistulas, or narrowing of lumen</w:t>
            </w:r>
            <w:r>
              <w:rPr>
                <w:rFonts w:cs="Arial"/>
                <w:sz w:val="20"/>
                <w:szCs w:val="20"/>
              </w:rPr>
            </w:r>
          </w:p>
        </w:tc>
        <w:tc>
          <w:tcPr>
            <w:tcBorders/>
            <w:tcW w:w="3870" w:type="dxa"/>
            <w:textDirection w:val="lrTb"/>
            <w:noWrap w:val="false"/>
          </w:tcPr>
          <w:p>
            <w:pPr>
              <w:pBdr/>
              <w:spacing/>
              <w:ind/>
              <w:rPr>
                <w:rFonts w:cs="Arial"/>
                <w:b/>
                <w:bCs/>
                <w:sz w:val="20"/>
                <w:szCs w:val="20"/>
              </w:rPr>
            </w:pPr>
            <w:r>
              <w:rPr>
                <w:rFonts w:cs="Arial"/>
                <w:b/>
                <w:bCs/>
                <w:sz w:val="20"/>
                <w:szCs w:val="20"/>
              </w:rPr>
              <w:t xml:space="preserve">Radiographic indications:  </w:t>
            </w:r>
            <w:r>
              <w:rPr>
                <w:rFonts w:cs="Arial"/>
                <w:bCs/>
                <w:sz w:val="20"/>
                <w:szCs w:val="20"/>
              </w:rPr>
              <w:t xml:space="preserve">Noninvasive treatments: no seeds, nuts, popcorn, and etc. and exercise to increase peristalsis, antibiotics are most common. Surgery may be required.</w:t>
            </w:r>
            <w:r>
              <w:rPr>
                <w:rFonts w:cs="Arial"/>
                <w:b/>
                <w:bCs/>
                <w:sz w:val="20"/>
                <w:szCs w:val="20"/>
              </w:rPr>
            </w:r>
          </w:p>
        </w:tc>
        <w:tc>
          <w:tcPr>
            <w:tcBorders/>
            <w:tcW w:w="3024" w:type="dxa"/>
            <w:textDirection w:val="lrTb"/>
            <w:noWrap w:val="false"/>
          </w:tcPr>
          <w:p>
            <w:pPr>
              <w:pBdr/>
              <w:spacing/>
              <w:ind/>
              <w:rPr>
                <w:rFonts w:cs="Arial"/>
                <w:b/>
                <w:sz w:val="20"/>
                <w:szCs w:val="20"/>
              </w:rPr>
            </w:pPr>
            <w:r>
              <w:rPr>
                <w:rFonts w:cs="Arial"/>
                <w:b/>
                <w:sz w:val="20"/>
                <w:szCs w:val="20"/>
              </w:rPr>
              <w:t xml:space="preserve">Eisenberg 5-64, 65, 66</w:t>
            </w:r>
            <w:r>
              <w:rPr>
                <w:rFonts w:cs="Arial"/>
                <w:b/>
                <w:sz w:val="20"/>
                <w:szCs w:val="20"/>
              </w:rPr>
            </w:r>
          </w:p>
        </w:tc>
      </w:tr>
      <w:tr>
        <w:trPr>
          <w:gridAfter w:val="1"/>
          <w:trHeight w:val="2701" w:hRule="exact"/>
        </w:trPr>
        <w:tc>
          <w:tcPr>
            <w:tcBorders/>
            <w:tcW w:w="1701" w:type="dxa"/>
            <w:textDirection w:val="lrTb"/>
            <w:noWrap w:val="false"/>
          </w:tcPr>
          <w:p>
            <w:pPr>
              <w:pBdr/>
              <w:spacing/>
              <w:ind/>
              <w:rPr>
                <w:rFonts w:cs="Arial"/>
                <w:b/>
                <w:sz w:val="20"/>
                <w:szCs w:val="20"/>
              </w:rPr>
            </w:pPr>
            <w:r>
              <w:rPr>
                <w:rFonts w:cs="Arial"/>
                <w:b/>
                <w:sz w:val="20"/>
                <w:szCs w:val="20"/>
              </w:rPr>
              <w:t xml:space="preserve">Ulcerative colitis</w:t>
            </w:r>
            <w:r>
              <w:rPr>
                <w:rFonts w:cs="Arial"/>
                <w:b/>
                <w:sz w:val="20"/>
                <w:szCs w:val="20"/>
              </w:rPr>
            </w:r>
          </w:p>
          <w:p>
            <w:pPr>
              <w:pBdr/>
              <w:spacing/>
              <w:ind/>
              <w:rPr>
                <w:rFonts w:cs="Arial"/>
                <w:sz w:val="20"/>
                <w:szCs w:val="20"/>
              </w:rPr>
            </w:pPr>
            <w:r>
              <w:rPr>
                <w:rFonts w:cs="Arial"/>
                <w:sz w:val="20"/>
                <w:szCs w:val="20"/>
              </w:rPr>
            </w:r>
            <w:r>
              <w:rPr>
                <w:rFonts w:cs="Arial"/>
                <w:sz w:val="20"/>
                <w:szCs w:val="20"/>
              </w:rPr>
            </w:r>
          </w:p>
        </w:tc>
        <w:tc>
          <w:tcPr>
            <w:tcBorders/>
            <w:tcW w:w="3402" w:type="dxa"/>
            <w:textDirection w:val="lrTb"/>
            <w:noWrap w:val="false"/>
          </w:tcPr>
          <w:p>
            <w:pPr>
              <w:pBdr/>
              <w:spacing/>
              <w:ind/>
              <w:rPr>
                <w:rFonts w:cs="Arial"/>
                <w:sz w:val="20"/>
                <w:szCs w:val="20"/>
              </w:rPr>
            </w:pPr>
            <w:r>
              <w:rPr>
                <w:rFonts w:cs="Arial"/>
                <w:b/>
                <w:bCs/>
                <w:sz w:val="20"/>
                <w:szCs w:val="20"/>
              </w:rPr>
              <w:t xml:space="preserve">What is it? </w:t>
            </w:r>
            <w:r>
              <w:rPr>
                <w:rFonts w:cs="Arial"/>
                <w:sz w:val="20"/>
                <w:szCs w:val="20"/>
              </w:rPr>
              <w:t xml:space="preserve">Inflammatory lesions that only involve the mucosal layer of the colon. Unknown etiology. Arises in rectosigmoid colon.   Most often seen in young Caucasian adults. </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195" w:type="dxa"/>
            <w:textDirection w:val="lrTb"/>
            <w:noWrap w:val="false"/>
          </w:tcPr>
          <w:p>
            <w:pPr>
              <w:pBdr/>
              <w:spacing/>
              <w:ind/>
              <w:rPr>
                <w:rFonts w:cs="Arial"/>
                <w:sz w:val="20"/>
                <w:szCs w:val="20"/>
              </w:rPr>
            </w:pPr>
            <w:r>
              <w:rPr>
                <w:rFonts w:cs="Arial"/>
                <w:b/>
                <w:bCs/>
                <w:sz w:val="20"/>
                <w:szCs w:val="20"/>
              </w:rPr>
              <w:t xml:space="preserve">Complications:</w:t>
            </w:r>
            <w:r>
              <w:rPr>
                <w:rFonts w:cs="Arial"/>
                <w:sz w:val="20"/>
                <w:szCs w:val="20"/>
              </w:rPr>
              <w:t xml:space="preserve"> Recurrent spells of bloody diarrhea, abdominal pain, fever, and weight loss, and toxic megacolon.  Mucosal edema can lead to loss of haustration.  10 X more likely to develop colon cancer.  </w:t>
            </w:r>
            <w:r>
              <w:rPr>
                <w:rFonts w:cs="Arial"/>
                <w:sz w:val="20"/>
                <w:szCs w:val="20"/>
              </w:rPr>
            </w:r>
          </w:p>
        </w:tc>
        <w:tc>
          <w:tcPr>
            <w:tcBorders/>
            <w:tcW w:w="3870" w:type="dxa"/>
            <w:textDirection w:val="lrTb"/>
            <w:noWrap w:val="false"/>
          </w:tcPr>
          <w:p>
            <w:pPr>
              <w:pBdr/>
              <w:spacing/>
              <w:ind/>
              <w:rPr>
                <w:rFonts w:cs="Arial"/>
                <w:sz w:val="20"/>
                <w:szCs w:val="20"/>
              </w:rPr>
            </w:pPr>
            <w:r>
              <w:rPr>
                <w:rFonts w:cs="Arial"/>
                <w:b/>
                <w:bCs/>
                <w:sz w:val="20"/>
                <w:szCs w:val="20"/>
              </w:rPr>
              <w:t xml:space="preserve">Radiographic indications:  </w:t>
            </w:r>
            <w:r>
              <w:rPr>
                <w:rFonts w:cs="Arial"/>
                <w:bCs/>
                <w:sz w:val="20"/>
                <w:szCs w:val="20"/>
              </w:rPr>
              <w:t xml:space="preserve">Barium enema is absolutely contraindicated during an attack of toxic megacolon</w:t>
            </w:r>
            <w:r>
              <w:rPr>
                <w:rFonts w:cs="Arial"/>
                <w:b/>
                <w:bCs/>
                <w:sz w:val="20"/>
                <w:szCs w:val="20"/>
              </w:rPr>
              <w:t xml:space="preserve">.  </w:t>
            </w:r>
            <w:r>
              <w:rPr>
                <w:rFonts w:cs="Arial"/>
                <w:bCs/>
                <w:sz w:val="20"/>
                <w:szCs w:val="20"/>
              </w:rPr>
              <w:t xml:space="preserve">Unlike Crohn’s no skip lesions are evident and the disease does not involve the sma</w:t>
            </w:r>
            <w:r>
              <w:rPr>
                <w:rFonts w:cs="Arial"/>
                <w:bCs/>
                <w:sz w:val="20"/>
                <w:szCs w:val="20"/>
              </w:rPr>
              <w:t xml:space="preserve">ll bowel.  Mucosa appears granular, stippled, or “collar-buttoned” in contrast studies, and the colon appears as a lead-pipe because due to loss of haustration. Diet changes, anti-inflammatories, stress control, and surgical resection are treatment methods</w:t>
            </w:r>
            <w:r>
              <w:rPr>
                <w:rFonts w:cs="Arial"/>
                <w:sz w:val="20"/>
                <w:szCs w:val="20"/>
              </w:rPr>
            </w:r>
          </w:p>
          <w:p>
            <w:pPr>
              <w:pBdr/>
              <w:spacing/>
              <w:ind/>
              <w:rPr>
                <w:rFonts w:cs="Arial"/>
                <w:sz w:val="20"/>
                <w:szCs w:val="20"/>
              </w:rPr>
            </w:pPr>
            <w:r>
              <w:rPr>
                <w:rFonts w:cs="Arial"/>
                <w:sz w:val="20"/>
                <w:szCs w:val="20"/>
              </w:rPr>
            </w:r>
            <w:r>
              <w:rPr>
                <w:rFonts w:cs="Arial"/>
                <w:sz w:val="20"/>
                <w:szCs w:val="20"/>
              </w:rPr>
            </w:r>
          </w:p>
        </w:tc>
        <w:tc>
          <w:tcPr>
            <w:tcBorders/>
            <w:tcW w:w="3024" w:type="dxa"/>
            <w:textDirection w:val="lrTb"/>
            <w:noWrap w:val="false"/>
          </w:tcPr>
          <w:p>
            <w:pPr>
              <w:pBdr/>
              <w:spacing/>
              <w:ind/>
              <w:rPr>
                <w:rFonts w:cs="Arial"/>
                <w:b/>
                <w:sz w:val="20"/>
                <w:szCs w:val="20"/>
              </w:rPr>
            </w:pPr>
            <w:r>
              <w:rPr>
                <w:rFonts w:cs="Arial"/>
                <w:b/>
                <w:sz w:val="20"/>
                <w:szCs w:val="20"/>
              </w:rPr>
              <w:t xml:space="preserve">Eisenberg Fig. 5-68 thru 5-71</w:t>
            </w:r>
            <w:r>
              <w:rPr>
                <w:rFonts w:cs="Arial"/>
                <w:b/>
                <w:sz w:val="20"/>
                <w:szCs w:val="20"/>
              </w:rPr>
            </w:r>
          </w:p>
        </w:tc>
      </w:tr>
      <w:tr>
        <w:trPr>
          <w:gridAfter w:val="1"/>
          <w:trHeight w:val="2268" w:hRule="exact"/>
        </w:trPr>
        <w:tc>
          <w:tcPr>
            <w:tcBorders/>
            <w:tcW w:w="1701" w:type="dxa"/>
            <w:textDirection w:val="lrTb"/>
            <w:noWrap w:val="false"/>
          </w:tcPr>
          <w:p>
            <w:pPr>
              <w:pBdr/>
              <w:spacing/>
              <w:ind/>
              <w:rPr>
                <w:b/>
                <w:bCs/>
              </w:rPr>
            </w:pPr>
            <w:r>
              <w:rPr>
                <w:b/>
                <w:bCs/>
              </w:rPr>
              <w:t xml:space="preserve">Colonic Polyp</w:t>
            </w:r>
            <w:r>
              <w:rPr>
                <w:b/>
                <w:bCs/>
              </w:rPr>
            </w:r>
          </w:p>
          <w:p>
            <w:pPr>
              <w:pBdr/>
              <w:spacing/>
              <w:ind/>
              <w:rPr/>
            </w:pPr>
            <w:r/>
            <w:r/>
          </w:p>
        </w:tc>
        <w:tc>
          <w:tcPr>
            <w:tcBorders/>
            <w:tcW w:w="3402" w:type="dxa"/>
            <w:textDirection w:val="lrTb"/>
            <w:noWrap w:val="false"/>
          </w:tcPr>
          <w:p>
            <w:pPr>
              <w:pStyle w:val="711"/>
              <w:pBdr/>
              <w:spacing w:after="0" w:afterAutospacing="0" w:before="0" w:beforeAutospacing="0"/>
              <w:ind/>
              <w:rPr>
                <w:rFonts w:asciiTheme="minorHAnsi" w:hAnsiTheme="minorHAnsi"/>
                <w:sz w:val="20"/>
                <w:szCs w:val="20"/>
              </w:rPr>
            </w:pPr>
            <w:r>
              <w:rPr>
                <w:rFonts w:eastAsia="+mn-ea" w:cs="+mn-cs" w:asciiTheme="minorHAnsi" w:hAnsiTheme="minorHAnsi"/>
                <w:b/>
                <w:color w:val="0d0d0d"/>
                <w:sz w:val="20"/>
                <w:szCs w:val="20"/>
              </w:rPr>
              <w:t xml:space="preserve">What is it</w:t>
            </w:r>
            <w:r>
              <w:rPr>
                <w:rFonts w:eastAsia="+mn-ea" w:cs="+mn-cs" w:asciiTheme="minorHAnsi" w:hAnsiTheme="minorHAnsi"/>
                <w:b/>
                <w:color w:val="0d0d0d"/>
                <w:sz w:val="20"/>
                <w:szCs w:val="20"/>
              </w:rPr>
              <w:t xml:space="preserve">?</w:t>
            </w:r>
            <w:r>
              <w:rPr>
                <w:rFonts w:eastAsia="+mn-ea" w:cs="+mn-cs" w:asciiTheme="minorHAnsi" w:hAnsiTheme="minorHAnsi"/>
                <w:color w:val="0d0d0d"/>
                <w:sz w:val="20"/>
                <w:szCs w:val="20"/>
              </w:rPr>
              <w:t xml:space="preserve"> </w:t>
            </w:r>
            <w:r>
              <w:rPr>
                <w:rFonts w:eastAsia="+mn-ea" w:cs="+mn-cs" w:asciiTheme="minorHAnsi" w:hAnsiTheme="minorHAnsi"/>
                <w:color w:val="0d0d0d"/>
                <w:sz w:val="20"/>
                <w:szCs w:val="20"/>
              </w:rPr>
              <w:t xml:space="preserve">Abnormal</w:t>
            </w:r>
            <w:r>
              <w:rPr>
                <w:rFonts w:eastAsia="+mn-ea" w:cs="+mn-cs" w:asciiTheme="minorHAnsi" w:hAnsiTheme="minorHAnsi"/>
                <w:color w:val="0d0d0d"/>
                <w:sz w:val="20"/>
                <w:szCs w:val="20"/>
              </w:rPr>
              <w:t xml:space="preserve"> neoplasm projecting from a mucous membrane. Initially benign, but may become malignant. May be pedunculated (has a stalk) or sessile (no stalk).  Most commonly found in left colon and rectosigmoid area. &gt;2cm has &gt;50% change of becoming malignant. </w:t>
            </w:r>
            <w:r>
              <w:rPr>
                <w:rFonts w:asciiTheme="minorHAnsi" w:hAnsiTheme="minorHAnsi"/>
                <w:sz w:val="20"/>
                <w:szCs w:val="20"/>
              </w:rPr>
            </w:r>
          </w:p>
          <w:p>
            <w:pPr>
              <w:pStyle w:val="711"/>
              <w:pBdr/>
              <w:spacing w:after="0" w:afterAutospacing="0" w:before="0" w:beforeAutospacing="0"/>
              <w:ind/>
              <w:rPr>
                <w:sz w:val="20"/>
                <w:szCs w:val="20"/>
              </w:rPr>
            </w:pPr>
            <w:r>
              <w:rPr>
                <w:rFonts w:eastAsia="+mn-ea" w:cs="+mn-cs"/>
                <w:color w:val="0d0d0d"/>
                <w:sz w:val="20"/>
                <w:szCs w:val="20"/>
              </w:rPr>
              <w:t xml:space="preserve"> </w:t>
            </w:r>
            <w:r>
              <w:rPr>
                <w:rFonts w:eastAsia="+mn-ea" w:cs="+mn-cs"/>
                <w:color w:val="000000"/>
                <w:sz w:val="20"/>
                <w:szCs w:val="20"/>
              </w:rPr>
              <w:t xml:space="preserve">  </w:t>
            </w:r>
            <w:r>
              <w:rPr>
                <w:sz w:val="20"/>
                <w:szCs w:val="20"/>
              </w:rPr>
            </w:r>
          </w:p>
          <w:p>
            <w:pPr>
              <w:pBdr/>
              <w:spacing/>
              <w:ind/>
              <w:rPr>
                <w:sz w:val="20"/>
                <w:szCs w:val="20"/>
              </w:rPr>
            </w:pPr>
            <w:r>
              <w:rPr>
                <w:sz w:val="20"/>
                <w:szCs w:val="20"/>
              </w:rPr>
            </w:r>
            <w:r>
              <w:rPr>
                <w:sz w:val="20"/>
                <w:szCs w:val="20"/>
              </w:rPr>
            </w:r>
          </w:p>
        </w:tc>
        <w:tc>
          <w:tcPr>
            <w:tcBorders/>
            <w:tcW w:w="3195" w:type="dxa"/>
            <w:textDirection w:val="lrTb"/>
            <w:noWrap w:val="false"/>
          </w:tcPr>
          <w:p>
            <w:pPr>
              <w:pBdr/>
              <w:spacing/>
              <w:ind/>
              <w:rPr>
                <w:sz w:val="20"/>
                <w:szCs w:val="20"/>
              </w:rPr>
            </w:pPr>
            <w:r>
              <w:rPr>
                <w:rFonts w:eastAsia="+mn-ea" w:cs="+mn-cs"/>
                <w:b/>
                <w:bCs/>
                <w:color w:val="0d0d0d"/>
                <w:sz w:val="20"/>
                <w:szCs w:val="20"/>
              </w:rPr>
              <w:t xml:space="preserve">Symptoms/</w:t>
            </w:r>
            <w:r>
              <w:rPr>
                <w:rFonts w:eastAsia="+mn-ea" w:cs="+mn-cs"/>
                <w:b/>
                <w:bCs/>
                <w:color w:val="0d0d0d"/>
                <w:sz w:val="20"/>
                <w:szCs w:val="20"/>
              </w:rPr>
              <w:t xml:space="preserve">Complications</w:t>
            </w:r>
            <w:r>
              <w:rPr>
                <w:rFonts w:eastAsia="+mn-ea" w:cs="+mn-cs"/>
                <w:b/>
                <w:bCs/>
                <w:color w:val="0d0d0d"/>
                <w:sz w:val="20"/>
                <w:szCs w:val="20"/>
              </w:rPr>
              <w:t xml:space="preserve">:</w:t>
            </w:r>
            <w:r>
              <w:rPr>
                <w:rFonts w:eastAsia="+mn-ea" w:cs="+mn-cs"/>
                <w:b/>
                <w:bCs/>
                <w:color w:val="0d0d0d"/>
                <w:sz w:val="20"/>
                <w:szCs w:val="20"/>
              </w:rPr>
              <w:t xml:space="preserve"> </w:t>
            </w:r>
            <w:r>
              <w:rPr>
                <w:rFonts w:eastAsia="+mn-ea" w:cs="+mn-cs"/>
                <w:color w:val="000000"/>
                <w:sz w:val="20"/>
                <w:szCs w:val="20"/>
              </w:rPr>
              <w:t xml:space="preserve">usually asymptomatic. Occasionally </w:t>
            </w:r>
            <w:r>
              <w:rPr>
                <w:rFonts w:eastAsia="+mn-ea" w:cs="+mn-cs"/>
                <w:color w:val="0d0d0d"/>
                <w:sz w:val="20"/>
                <w:szCs w:val="20"/>
              </w:rPr>
              <w:t xml:space="preserve">rectal bleeding, and on rare occasions pain, diarrhea or constipation</w:t>
            </w:r>
            <w:r>
              <w:rPr>
                <w:sz w:val="20"/>
                <w:szCs w:val="20"/>
              </w:rPr>
            </w:r>
          </w:p>
        </w:tc>
        <w:tc>
          <w:tcPr>
            <w:tcBorders/>
            <w:tcW w:w="3870" w:type="dxa"/>
            <w:textDirection w:val="lrTb"/>
            <w:noWrap w:val="false"/>
          </w:tcPr>
          <w:p>
            <w:pPr>
              <w:pBdr/>
              <w:spacing/>
              <w:ind/>
              <w:rPr>
                <w:sz w:val="20"/>
                <w:szCs w:val="20"/>
              </w:rPr>
            </w:pPr>
            <w:r>
              <w:rPr>
                <w:b/>
                <w:bCs/>
              </w:rPr>
              <w:t xml:space="preserve">Radiographic details</w:t>
            </w:r>
            <w:r>
              <w:rPr>
                <w:b/>
                <w:bCs/>
              </w:rPr>
              <w:t xml:space="preserve">:</w:t>
            </w:r>
            <w:r>
              <w:rPr>
                <w:b/>
                <w:bCs/>
              </w:rPr>
              <w:t xml:space="preserve"> </w:t>
            </w:r>
            <w:r>
              <w:rPr>
                <w:sz w:val="20"/>
                <w:szCs w:val="20"/>
              </w:rPr>
              <w:t xml:space="preserve">routinely removed during colonoscopy.  Double contrast barium enema will show filling defects.  </w:t>
            </w:r>
            <w:r>
              <w:rPr>
                <w:sz w:val="20"/>
                <w:szCs w:val="20"/>
              </w:rPr>
            </w:r>
          </w:p>
          <w:p>
            <w:pPr>
              <w:pBdr/>
              <w:spacing/>
              <w:ind/>
              <w:rPr/>
            </w:pPr>
            <w:r/>
            <w:r/>
          </w:p>
        </w:tc>
        <w:tc>
          <w:tcPr>
            <w:tcBorders/>
            <w:tcW w:w="3024" w:type="dxa"/>
            <w:textDirection w:val="lrTb"/>
            <w:noWrap w:val="false"/>
          </w:tcPr>
          <w:p>
            <w:pPr>
              <w:pBdr/>
              <w:spacing/>
              <w:ind/>
              <w:rPr/>
            </w:pPr>
            <w:r>
              <w:t xml:space="preserve">No image</w:t>
            </w:r>
            <w:r/>
          </w:p>
        </w:tc>
      </w:tr>
      <w:tr>
        <w:trPr>
          <w:gridAfter w:val="1"/>
          <w:trHeight w:val="2268" w:hRule="exact"/>
        </w:trPr>
        <w:tc>
          <w:tcPr>
            <w:tcBorders/>
            <w:tcW w:w="1701" w:type="dxa"/>
            <w:textDirection w:val="lrTb"/>
            <w:noWrap w:val="false"/>
          </w:tcPr>
          <w:p>
            <w:pPr>
              <w:pBdr/>
              <w:spacing/>
              <w:ind/>
              <w:rPr>
                <w:b/>
                <w:sz w:val="20"/>
                <w:szCs w:val="20"/>
              </w:rPr>
            </w:pPr>
            <w:r>
              <w:rPr>
                <w:b/>
                <w:sz w:val="20"/>
                <w:szCs w:val="20"/>
              </w:rPr>
              <w:t xml:space="preserve">Colon cancer</w:t>
            </w:r>
            <w:r>
              <w:rPr>
                <w:b/>
                <w:sz w:val="20"/>
                <w:szCs w:val="20"/>
              </w:rPr>
            </w:r>
          </w:p>
          <w:p>
            <w:pPr>
              <w:pBdr/>
              <w:spacing/>
              <w:ind/>
              <w:rPr>
                <w:sz w:val="20"/>
                <w:szCs w:val="20"/>
              </w:rPr>
            </w:pPr>
            <w:r>
              <w:rPr>
                <w:sz w:val="20"/>
                <w:szCs w:val="20"/>
              </w:rPr>
            </w:r>
            <w:r>
              <w:rPr>
                <w:sz w:val="20"/>
                <w:szCs w:val="20"/>
              </w:rPr>
            </w:r>
          </w:p>
        </w:tc>
        <w:tc>
          <w:tcPr>
            <w:tcBorders/>
            <w:tcW w:w="3402" w:type="dxa"/>
            <w:textDirection w:val="lrTb"/>
            <w:noWrap w:val="false"/>
          </w:tcPr>
          <w:p>
            <w:pPr>
              <w:pStyle w:val="711"/>
              <w:pBdr/>
              <w:spacing w:after="0" w:afterAutospacing="0" w:before="72" w:beforeAutospacing="0"/>
              <w:ind/>
              <w:rPr>
                <w:rFonts w:asciiTheme="minorHAnsi" w:hAnsiTheme="minorHAnsi"/>
                <w:sz w:val="20"/>
                <w:szCs w:val="20"/>
              </w:rPr>
            </w:pPr>
            <w:r>
              <w:rPr>
                <w:rFonts w:eastAsia="+mn-ea" w:cs="+mn-cs" w:asciiTheme="minorHAnsi" w:hAnsiTheme="minorHAnsi"/>
                <w:b/>
                <w:bCs/>
                <w:color w:val="000000"/>
                <w:sz w:val="20"/>
                <w:szCs w:val="20"/>
              </w:rPr>
              <w:t xml:space="preserve">What is it? </w:t>
            </w:r>
            <w:r>
              <w:rPr>
                <w:rFonts w:eastAsia="+mn-ea" w:cs="+mn-cs" w:asciiTheme="minorHAnsi" w:hAnsiTheme="minorHAnsi"/>
                <w:bCs/>
                <w:color w:val="000000"/>
                <w:sz w:val="20"/>
                <w:szCs w:val="20"/>
              </w:rPr>
              <w:t xml:space="preserve">Bowel cancer in the colon and rectum.  Most common between 50 and 70 </w:t>
            </w:r>
            <w:r>
              <w:rPr>
                <w:rFonts w:eastAsia="+mn-ea" w:cs="+mn-cs" w:asciiTheme="minorHAnsi" w:hAnsiTheme="minorHAnsi"/>
                <w:bCs/>
                <w:color w:val="000000"/>
                <w:sz w:val="20"/>
                <w:szCs w:val="20"/>
              </w:rPr>
              <w:t xml:space="preserve">yrs.</w:t>
            </w:r>
            <w:r>
              <w:rPr>
                <w:rFonts w:eastAsia="+mn-ea" w:cs="+mn-cs" w:asciiTheme="minorHAnsi" w:hAnsiTheme="minorHAnsi"/>
                <w:bCs/>
                <w:color w:val="000000"/>
                <w:sz w:val="20"/>
                <w:szCs w:val="20"/>
              </w:rPr>
              <w:t xml:space="preserve"> old. Most cancers arise from pre-existing polyps especially those &gt; than 2 cm in diameter. </w:t>
            </w:r>
            <w:r>
              <w:rPr>
                <w:rFonts w:eastAsia="+mn-ea" w:cs="+mn-cs" w:asciiTheme="minorHAnsi" w:hAnsiTheme="minorHAnsi"/>
                <w:color w:val="000000"/>
                <w:sz w:val="20"/>
                <w:szCs w:val="20"/>
              </w:rPr>
              <w:t xml:space="preserve">Predispositions: family history of polyps or ulcerative colitis.  Slow to metastasize so prognosis can be good if diagnosed early.</w:t>
            </w:r>
            <w:r>
              <w:rPr>
                <w:rFonts w:asciiTheme="minorHAnsi" w:hAnsiTheme="minorHAnsi"/>
                <w:sz w:val="20"/>
                <w:szCs w:val="20"/>
              </w:rPr>
            </w:r>
          </w:p>
        </w:tc>
        <w:tc>
          <w:tcPr>
            <w:tcBorders/>
            <w:tcW w:w="3195" w:type="dxa"/>
            <w:textDirection w:val="lrTb"/>
            <w:noWrap w:val="false"/>
          </w:tcPr>
          <w:p>
            <w:pPr>
              <w:pBdr/>
              <w:spacing/>
              <w:ind/>
              <w:rPr>
                <w:sz w:val="20"/>
                <w:szCs w:val="20"/>
              </w:rPr>
            </w:pPr>
            <w:r>
              <w:rPr>
                <w:b/>
                <w:bCs/>
                <w:sz w:val="20"/>
                <w:szCs w:val="20"/>
              </w:rPr>
              <w:t xml:space="preserve">Symptoms/Complications: </w:t>
            </w:r>
            <w:r>
              <w:rPr>
                <w:sz w:val="20"/>
                <w:szCs w:val="20"/>
              </w:rPr>
              <w:t xml:space="preserve">Symptoms can be vague or absent; obstruction or bleeding but not always. May spread to lymph, liver or lungs. </w:t>
            </w:r>
            <w:r>
              <w:rPr>
                <w:sz w:val="20"/>
                <w:szCs w:val="20"/>
              </w:rPr>
            </w:r>
          </w:p>
          <w:p>
            <w:pPr>
              <w:pBdr/>
              <w:spacing/>
              <w:ind/>
              <w:rPr>
                <w:sz w:val="20"/>
                <w:szCs w:val="20"/>
              </w:rPr>
            </w:pPr>
            <w:r>
              <w:rPr>
                <w:sz w:val="20"/>
                <w:szCs w:val="20"/>
              </w:rPr>
            </w:r>
            <w:r>
              <w:rPr>
                <w:sz w:val="20"/>
                <w:szCs w:val="20"/>
              </w:rPr>
            </w:r>
          </w:p>
        </w:tc>
        <w:tc>
          <w:tcPr>
            <w:tcBorders/>
            <w:tcW w:w="3870" w:type="dxa"/>
            <w:textDirection w:val="lrTb"/>
            <w:noWrap w:val="false"/>
          </w:tcPr>
          <w:p>
            <w:pPr>
              <w:pBdr/>
              <w:spacing/>
              <w:ind/>
              <w:rPr>
                <w:sz w:val="20"/>
                <w:szCs w:val="20"/>
              </w:rPr>
            </w:pPr>
            <w:r>
              <w:rPr>
                <w:b/>
                <w:bCs/>
                <w:sz w:val="20"/>
                <w:szCs w:val="20"/>
              </w:rPr>
              <w:t xml:space="preserve">Radiographic indications:</w:t>
            </w:r>
            <w:r>
              <w:rPr>
                <w:sz w:val="20"/>
                <w:szCs w:val="20"/>
              </w:rPr>
              <w:t xml:space="preserve"> napkin ring or apple core sign on a double </w:t>
            </w:r>
            <w:r>
              <w:rPr>
                <w:sz w:val="20"/>
                <w:szCs w:val="20"/>
              </w:rPr>
              <w:t xml:space="preserve">contrast barium</w:t>
            </w:r>
            <w:r>
              <w:rPr>
                <w:sz w:val="20"/>
                <w:szCs w:val="20"/>
              </w:rPr>
              <w:t xml:space="preserve"> enema. Surgery, chemo and radiotherapy may be necessary. </w:t>
            </w:r>
            <w:r>
              <w:rPr>
                <w:sz w:val="20"/>
                <w:szCs w:val="20"/>
              </w:rPr>
            </w:r>
          </w:p>
          <w:p>
            <w:pPr>
              <w:pBdr/>
              <w:spacing/>
              <w:ind/>
              <w:rPr>
                <w:sz w:val="20"/>
                <w:szCs w:val="20"/>
              </w:rPr>
            </w:pPr>
            <w:r>
              <w:rPr>
                <w:sz w:val="20"/>
                <w:szCs w:val="20"/>
              </w:rPr>
            </w:r>
            <w:r>
              <w:rPr>
                <w:sz w:val="20"/>
                <w:szCs w:val="20"/>
              </w:rPr>
            </w:r>
          </w:p>
        </w:tc>
        <w:tc>
          <w:tcPr>
            <w:tcBorders/>
            <w:tcW w:w="3024" w:type="dxa"/>
            <w:textDirection w:val="lrTb"/>
            <w:noWrap w:val="false"/>
          </w:tcPr>
          <w:p>
            <w:pPr>
              <w:pBdr/>
              <w:tabs>
                <w:tab w:val="center" w:leader="none" w:pos="372"/>
              </w:tabs>
              <w:spacing/>
              <w:ind/>
              <w:rPr/>
            </w:pPr>
            <w:r>
              <w:t xml:space="preserve">Eisenberg Fig. 5-77,78,79</w:t>
            </w:r>
            <w:r>
              <w:tab/>
            </w:r>
            <w:r/>
          </w:p>
        </w:tc>
      </w:tr>
    </w:tbl>
    <w:p>
      <w:pPr>
        <w:pBdr/>
        <w:spacing/>
        <w:ind/>
        <w:rPr/>
      </w:pPr>
      <w:r/>
      <w:r/>
    </w:p>
    <w:p>
      <w:pPr>
        <w:pBdr/>
        <w:tabs>
          <w:tab w:val="left" w:leader="none" w:pos="6820"/>
        </w:tabs>
        <w:spacing/>
        <w:ind/>
        <w:rPr/>
      </w:pPr>
      <w:r>
        <w:tab/>
      </w:r>
      <w:r/>
    </w:p>
    <w:sectPr>
      <w:headerReference w:type="default" r:id="rId8"/>
      <w:footnotePr/>
      <w:endnotePr/>
      <w:type w:val="nextPage"/>
      <w:pgSz w:h="12240" w:orient="landscape" w:w="15840"/>
      <w:pgMar w:top="720" w:right="562" w:bottom="576" w:left="562" w:header="706" w:footer="706"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n-cs">
    <w:panose1 w:val="020B0603030804020204"/>
  </w:font>
  <w:font w:name="Futura PT Demi">
    <w:panose1 w:val="020B0603030804020204"/>
  </w:font>
  <w:font w:name="Tahoma">
    <w:panose1 w:val="020B0604030504040204"/>
  </w:font>
  <w:font w:name="+mn-ea">
    <w:panose1 w:val="020B06030308040202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Bdr/>
      <w:spacing/>
      <w:ind/>
      <w:rPr>
        <w:rFonts w:ascii="Futura PT Demi" w:hAnsi="Futura PT Demi"/>
        <w:b/>
        <w:bCs/>
        <w:sz w:val="28"/>
        <w:szCs w:val="28"/>
      </w:rPr>
    </w:pPr>
    <w:r>
      <w:rPr>
        <w:rFonts w:ascii="Futura PT Demi" w:hAnsi="Futura PT Demi"/>
        <w:b/>
        <w:bCs/>
        <w:sz w:val="28"/>
        <w:szCs w:val="28"/>
      </w:r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671874"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Pr>
        <w:rFonts w:ascii="Futura PT Demi" w:hAnsi="Futura PT Demi"/>
        <w:b/>
        <w:bCs/>
        <w:sz w:val="28"/>
        <w:szCs w:val="28"/>
      </w:rPr>
      <w:t xml:space="preserve"> ANPH – GI Pathology Study Chart – ANSWER KEY</w:t>
    </w:r>
    <w:r>
      <w:rPr>
        <w:rFonts w:ascii="Futura PT Demi" w:hAnsi="Futura PT Demi"/>
        <w:b/>
        <w:bCs/>
        <w:sz w:val="28"/>
        <w:szCs w:val="28"/>
      </w:rP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0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0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0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0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0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0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0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0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0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0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0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0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0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0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0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0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0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0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0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0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0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0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0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0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0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0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0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0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0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0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0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0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0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0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0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0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0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0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0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0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0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0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0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0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0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0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0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0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0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0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0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0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0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0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0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0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0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0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0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0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0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0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0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0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0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0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0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0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0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0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0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0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0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0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0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0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0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0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0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0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0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0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0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0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0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1">
    <w:name w:val="List Table 7 Colorful - Accent 2"/>
    <w:basedOn w:val="70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112">
    <w:name w:val="List Table 7 Colorful - Accent 3"/>
    <w:basedOn w:val="70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9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113">
    <w:name w:val="List Table 7 Colorful - Accent 4"/>
    <w:basedOn w:val="70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114">
    <w:name w:val="List Table 7 Colorful - Accent 5"/>
    <w:basedOn w:val="70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115">
    <w:name w:val="List Table 7 Colorful - Accent 6"/>
    <w:basedOn w:val="70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8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116">
    <w:name w:val="Lined - Accent"/>
    <w:basedOn w:val="7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0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0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0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0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0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0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0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0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0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0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0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0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0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0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8">
    <w:name w:val="Heading 1"/>
    <w:basedOn w:val="706"/>
    <w:next w:val="706"/>
    <w:link w:val="149"/>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39">
    <w:name w:val="Heading 2"/>
    <w:basedOn w:val="706"/>
    <w:next w:val="706"/>
    <w:link w:val="150"/>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0">
    <w:name w:val="Heading 3"/>
    <w:basedOn w:val="706"/>
    <w:next w:val="706"/>
    <w:link w:val="15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1">
    <w:name w:val="Heading 4"/>
    <w:basedOn w:val="706"/>
    <w:next w:val="706"/>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06"/>
    <w:next w:val="706"/>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06"/>
    <w:next w:val="706"/>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06"/>
    <w:next w:val="706"/>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06"/>
    <w:next w:val="706"/>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06"/>
    <w:next w:val="706"/>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9">
    <w:name w:val="Heading 1 Char"/>
    <w:basedOn w:val="707"/>
    <w:link w:val="138"/>
    <w:uiPriority w:val="9"/>
    <w:pPr>
      <w:pBdr/>
      <w:spacing/>
      <w:ind/>
    </w:pPr>
    <w:rPr>
      <w:rFonts w:ascii="Arial" w:hAnsi="Arial" w:eastAsia="Arial" w:cs="Arial"/>
      <w:color w:val="0f4761" w:themeColor="accent1" w:themeShade="BF"/>
      <w:sz w:val="40"/>
      <w:szCs w:val="40"/>
    </w:rPr>
  </w:style>
  <w:style w:type="character" w:styleId="150">
    <w:name w:val="Heading 2 Char"/>
    <w:basedOn w:val="707"/>
    <w:link w:val="139"/>
    <w:uiPriority w:val="9"/>
    <w:pPr>
      <w:pBdr/>
      <w:spacing/>
      <w:ind/>
    </w:pPr>
    <w:rPr>
      <w:rFonts w:ascii="Arial" w:hAnsi="Arial" w:eastAsia="Arial" w:cs="Arial"/>
      <w:color w:val="0f4761" w:themeColor="accent1" w:themeShade="BF"/>
      <w:sz w:val="32"/>
      <w:szCs w:val="32"/>
    </w:rPr>
  </w:style>
  <w:style w:type="character" w:styleId="151">
    <w:name w:val="Heading 3 Char"/>
    <w:basedOn w:val="707"/>
    <w:link w:val="140"/>
    <w:uiPriority w:val="9"/>
    <w:pPr>
      <w:pBdr/>
      <w:spacing/>
      <w:ind/>
    </w:pPr>
    <w:rPr>
      <w:rFonts w:ascii="Arial" w:hAnsi="Arial" w:eastAsia="Arial" w:cs="Arial"/>
      <w:color w:val="0f4761" w:themeColor="accent1" w:themeShade="BF"/>
      <w:sz w:val="28"/>
      <w:szCs w:val="28"/>
    </w:rPr>
  </w:style>
  <w:style w:type="character" w:styleId="152">
    <w:name w:val="Heading 4 Char"/>
    <w:basedOn w:val="707"/>
    <w:link w:val="141"/>
    <w:uiPriority w:val="9"/>
    <w:pPr>
      <w:pBdr/>
      <w:spacing/>
      <w:ind/>
    </w:pPr>
    <w:rPr>
      <w:rFonts w:ascii="Arial" w:hAnsi="Arial" w:eastAsia="Arial" w:cs="Arial"/>
      <w:i/>
      <w:iCs/>
      <w:color w:val="0f4761" w:themeColor="accent1" w:themeShade="BF"/>
    </w:rPr>
  </w:style>
  <w:style w:type="character" w:styleId="153">
    <w:name w:val="Heading 5 Char"/>
    <w:basedOn w:val="707"/>
    <w:link w:val="142"/>
    <w:uiPriority w:val="9"/>
    <w:pPr>
      <w:pBdr/>
      <w:spacing/>
      <w:ind/>
    </w:pPr>
    <w:rPr>
      <w:rFonts w:ascii="Arial" w:hAnsi="Arial" w:eastAsia="Arial" w:cs="Arial"/>
      <w:color w:val="0f4761" w:themeColor="accent1" w:themeShade="BF"/>
    </w:rPr>
  </w:style>
  <w:style w:type="character" w:styleId="154">
    <w:name w:val="Heading 6 Char"/>
    <w:basedOn w:val="707"/>
    <w:link w:val="143"/>
    <w:uiPriority w:val="9"/>
    <w:pPr>
      <w:pBdr/>
      <w:spacing/>
      <w:ind/>
    </w:pPr>
    <w:rPr>
      <w:rFonts w:ascii="Arial" w:hAnsi="Arial" w:eastAsia="Arial" w:cs="Arial"/>
      <w:i/>
      <w:iCs/>
      <w:color w:val="595959" w:themeColor="text1" w:themeTint="A6"/>
    </w:rPr>
  </w:style>
  <w:style w:type="character" w:styleId="155">
    <w:name w:val="Heading 7 Char"/>
    <w:basedOn w:val="707"/>
    <w:link w:val="144"/>
    <w:uiPriority w:val="9"/>
    <w:pPr>
      <w:pBdr/>
      <w:spacing/>
      <w:ind/>
    </w:pPr>
    <w:rPr>
      <w:rFonts w:ascii="Arial" w:hAnsi="Arial" w:eastAsia="Arial" w:cs="Arial"/>
      <w:color w:val="595959" w:themeColor="text1" w:themeTint="A6"/>
    </w:rPr>
  </w:style>
  <w:style w:type="character" w:styleId="156">
    <w:name w:val="Heading 8 Char"/>
    <w:basedOn w:val="707"/>
    <w:link w:val="145"/>
    <w:uiPriority w:val="9"/>
    <w:pPr>
      <w:pBdr/>
      <w:spacing/>
      <w:ind/>
    </w:pPr>
    <w:rPr>
      <w:rFonts w:ascii="Arial" w:hAnsi="Arial" w:eastAsia="Arial" w:cs="Arial"/>
      <w:i/>
      <w:iCs/>
      <w:color w:val="272727" w:themeColor="text1" w:themeTint="D8"/>
    </w:rPr>
  </w:style>
  <w:style w:type="character" w:styleId="157">
    <w:name w:val="Heading 9 Char"/>
    <w:basedOn w:val="707"/>
    <w:link w:val="146"/>
    <w:uiPriority w:val="9"/>
    <w:pPr>
      <w:pBdr/>
      <w:spacing/>
      <w:ind/>
    </w:pPr>
    <w:rPr>
      <w:rFonts w:ascii="Arial" w:hAnsi="Arial" w:eastAsia="Arial" w:cs="Arial"/>
      <w:i/>
      <w:iCs/>
      <w:color w:val="272727" w:themeColor="text1" w:themeTint="D8"/>
    </w:rPr>
  </w:style>
  <w:style w:type="paragraph" w:styleId="158">
    <w:name w:val="Title"/>
    <w:basedOn w:val="706"/>
    <w:next w:val="706"/>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07"/>
    <w:link w:val="158"/>
    <w:uiPriority w:val="10"/>
    <w:pPr>
      <w:pBdr/>
      <w:spacing/>
      <w:ind/>
    </w:pPr>
    <w:rPr>
      <w:rFonts w:ascii="Arial" w:hAnsi="Arial" w:eastAsia="Arial" w:cs="Arial"/>
      <w:spacing w:val="-10"/>
      <w:sz w:val="56"/>
      <w:szCs w:val="56"/>
    </w:rPr>
  </w:style>
  <w:style w:type="paragraph" w:styleId="160">
    <w:name w:val="Subtitle"/>
    <w:basedOn w:val="706"/>
    <w:next w:val="706"/>
    <w:link w:val="161"/>
    <w:uiPriority w:val="11"/>
    <w:qFormat/>
    <w:pPr>
      <w:numPr>
        <w:ilvl w:val="1"/>
      </w:numPr>
      <w:pBdr/>
      <w:spacing/>
      <w:ind/>
    </w:pPr>
    <w:rPr>
      <w:color w:val="595959" w:themeColor="text1" w:themeTint="A6"/>
      <w:spacing w:val="15"/>
      <w:sz w:val="28"/>
      <w:szCs w:val="28"/>
    </w:rPr>
  </w:style>
  <w:style w:type="character" w:styleId="161">
    <w:name w:val="Subtitle Char"/>
    <w:basedOn w:val="707"/>
    <w:link w:val="160"/>
    <w:uiPriority w:val="11"/>
    <w:pPr>
      <w:pBdr/>
      <w:spacing/>
      <w:ind/>
    </w:pPr>
    <w:rPr>
      <w:color w:val="595959" w:themeColor="text1" w:themeTint="A6"/>
      <w:spacing w:val="15"/>
      <w:sz w:val="28"/>
      <w:szCs w:val="28"/>
    </w:rPr>
  </w:style>
  <w:style w:type="paragraph" w:styleId="162">
    <w:name w:val="Quote"/>
    <w:basedOn w:val="706"/>
    <w:next w:val="706"/>
    <w:link w:val="163"/>
    <w:uiPriority w:val="29"/>
    <w:qFormat/>
    <w:pPr>
      <w:pBdr/>
      <w:spacing w:before="160"/>
      <w:ind/>
      <w:jc w:val="center"/>
    </w:pPr>
    <w:rPr>
      <w:i/>
      <w:iCs/>
      <w:color w:val="404040" w:themeColor="text1" w:themeTint="BF"/>
    </w:rPr>
  </w:style>
  <w:style w:type="character" w:styleId="163">
    <w:name w:val="Quote Char"/>
    <w:basedOn w:val="707"/>
    <w:link w:val="162"/>
    <w:uiPriority w:val="29"/>
    <w:pPr>
      <w:pBdr/>
      <w:spacing/>
      <w:ind/>
    </w:pPr>
    <w:rPr>
      <w:i/>
      <w:iCs/>
      <w:color w:val="404040" w:themeColor="text1" w:themeTint="BF"/>
    </w:rPr>
  </w:style>
  <w:style w:type="paragraph" w:styleId="164">
    <w:name w:val="List Paragraph"/>
    <w:basedOn w:val="706"/>
    <w:uiPriority w:val="34"/>
    <w:qFormat/>
    <w:pPr>
      <w:pBdr/>
      <w:spacing/>
      <w:ind w:left="720"/>
      <w:contextualSpacing w:val="true"/>
    </w:pPr>
  </w:style>
  <w:style w:type="character" w:styleId="165">
    <w:name w:val="Intense Emphasis"/>
    <w:basedOn w:val="707"/>
    <w:uiPriority w:val="21"/>
    <w:qFormat/>
    <w:pPr>
      <w:pBdr/>
      <w:spacing/>
      <w:ind/>
    </w:pPr>
    <w:rPr>
      <w:i/>
      <w:iCs/>
      <w:color w:val="0f4761" w:themeColor="accent1" w:themeShade="BF"/>
    </w:rPr>
  </w:style>
  <w:style w:type="paragraph" w:styleId="166">
    <w:name w:val="Intense Quote"/>
    <w:basedOn w:val="706"/>
    <w:next w:val="706"/>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07"/>
    <w:link w:val="166"/>
    <w:uiPriority w:val="30"/>
    <w:pPr>
      <w:pBdr/>
      <w:spacing/>
      <w:ind/>
    </w:pPr>
    <w:rPr>
      <w:i/>
      <w:iCs/>
      <w:color w:val="0f4761" w:themeColor="accent1" w:themeShade="BF"/>
    </w:rPr>
  </w:style>
  <w:style w:type="character" w:styleId="168">
    <w:name w:val="Intense Reference"/>
    <w:basedOn w:val="707"/>
    <w:uiPriority w:val="32"/>
    <w:qFormat/>
    <w:pPr>
      <w:pBdr/>
      <w:spacing/>
      <w:ind/>
    </w:pPr>
    <w:rPr>
      <w:b/>
      <w:bCs/>
      <w:smallCaps/>
      <w:color w:val="0f4761" w:themeColor="accent1" w:themeShade="BF"/>
      <w:spacing w:val="5"/>
    </w:rPr>
  </w:style>
  <w:style w:type="paragraph" w:styleId="169">
    <w:name w:val="No Spacing"/>
    <w:basedOn w:val="706"/>
    <w:uiPriority w:val="1"/>
    <w:qFormat/>
    <w:pPr>
      <w:pBdr/>
      <w:spacing w:after="0" w:line="240" w:lineRule="auto"/>
      <w:ind/>
    </w:pPr>
  </w:style>
  <w:style w:type="character" w:styleId="170">
    <w:name w:val="Subtle Emphasis"/>
    <w:basedOn w:val="707"/>
    <w:uiPriority w:val="19"/>
    <w:qFormat/>
    <w:pPr>
      <w:pBdr/>
      <w:spacing/>
      <w:ind/>
    </w:pPr>
    <w:rPr>
      <w:i/>
      <w:iCs/>
      <w:color w:val="404040" w:themeColor="text1" w:themeTint="BF"/>
    </w:rPr>
  </w:style>
  <w:style w:type="character" w:styleId="171">
    <w:name w:val="Emphasis"/>
    <w:basedOn w:val="707"/>
    <w:uiPriority w:val="20"/>
    <w:qFormat/>
    <w:pPr>
      <w:pBdr/>
      <w:spacing/>
      <w:ind/>
    </w:pPr>
    <w:rPr>
      <w:i/>
      <w:iCs/>
    </w:rPr>
  </w:style>
  <w:style w:type="character" w:styleId="172">
    <w:name w:val="Strong"/>
    <w:basedOn w:val="707"/>
    <w:uiPriority w:val="22"/>
    <w:qFormat/>
    <w:pPr>
      <w:pBdr/>
      <w:spacing/>
      <w:ind/>
    </w:pPr>
    <w:rPr>
      <w:b/>
      <w:bCs/>
    </w:rPr>
  </w:style>
  <w:style w:type="character" w:styleId="173">
    <w:name w:val="Subtle Reference"/>
    <w:basedOn w:val="707"/>
    <w:uiPriority w:val="31"/>
    <w:qFormat/>
    <w:pPr>
      <w:pBdr/>
      <w:spacing/>
      <w:ind/>
    </w:pPr>
    <w:rPr>
      <w:smallCaps/>
      <w:color w:val="5a5a5a" w:themeColor="text1" w:themeTint="A5"/>
    </w:rPr>
  </w:style>
  <w:style w:type="character" w:styleId="174">
    <w:name w:val="Book Title"/>
    <w:basedOn w:val="707"/>
    <w:uiPriority w:val="33"/>
    <w:qFormat/>
    <w:pPr>
      <w:pBdr/>
      <w:spacing/>
      <w:ind/>
    </w:pPr>
    <w:rPr>
      <w:b/>
      <w:bCs/>
      <w:i/>
      <w:iCs/>
      <w:spacing w:val="5"/>
    </w:rPr>
  </w:style>
  <w:style w:type="paragraph" w:styleId="179">
    <w:name w:val="Caption"/>
    <w:basedOn w:val="706"/>
    <w:next w:val="706"/>
    <w:uiPriority w:val="35"/>
    <w:unhideWhenUsed/>
    <w:qFormat/>
    <w:pPr>
      <w:pBdr/>
      <w:spacing w:after="200" w:line="240" w:lineRule="auto"/>
      <w:ind/>
    </w:pPr>
    <w:rPr>
      <w:i/>
      <w:iCs/>
      <w:color w:val="0e2841" w:themeColor="text2"/>
      <w:sz w:val="18"/>
      <w:szCs w:val="18"/>
    </w:rPr>
  </w:style>
  <w:style w:type="paragraph" w:styleId="180">
    <w:name w:val="footnote text"/>
    <w:basedOn w:val="706"/>
    <w:link w:val="181"/>
    <w:uiPriority w:val="99"/>
    <w:semiHidden/>
    <w:unhideWhenUsed/>
    <w:pPr>
      <w:pBdr/>
      <w:spacing w:after="0" w:line="240" w:lineRule="auto"/>
      <w:ind/>
    </w:pPr>
    <w:rPr>
      <w:sz w:val="20"/>
      <w:szCs w:val="20"/>
    </w:rPr>
  </w:style>
  <w:style w:type="character" w:styleId="181">
    <w:name w:val="Footnote Text Char"/>
    <w:basedOn w:val="707"/>
    <w:link w:val="180"/>
    <w:uiPriority w:val="99"/>
    <w:semiHidden/>
    <w:pPr>
      <w:pBdr/>
      <w:spacing/>
      <w:ind/>
    </w:pPr>
    <w:rPr>
      <w:sz w:val="20"/>
      <w:szCs w:val="20"/>
    </w:rPr>
  </w:style>
  <w:style w:type="character" w:styleId="182">
    <w:name w:val="footnote reference"/>
    <w:basedOn w:val="707"/>
    <w:uiPriority w:val="99"/>
    <w:semiHidden/>
    <w:unhideWhenUsed/>
    <w:pPr>
      <w:pBdr/>
      <w:spacing/>
      <w:ind/>
    </w:pPr>
    <w:rPr>
      <w:vertAlign w:val="superscript"/>
    </w:rPr>
  </w:style>
  <w:style w:type="paragraph" w:styleId="183">
    <w:name w:val="endnote text"/>
    <w:basedOn w:val="706"/>
    <w:link w:val="184"/>
    <w:uiPriority w:val="99"/>
    <w:semiHidden/>
    <w:unhideWhenUsed/>
    <w:pPr>
      <w:pBdr/>
      <w:spacing w:after="0" w:line="240" w:lineRule="auto"/>
      <w:ind/>
    </w:pPr>
    <w:rPr>
      <w:sz w:val="20"/>
      <w:szCs w:val="20"/>
    </w:rPr>
  </w:style>
  <w:style w:type="character" w:styleId="184">
    <w:name w:val="Endnote Text Char"/>
    <w:basedOn w:val="707"/>
    <w:link w:val="183"/>
    <w:uiPriority w:val="99"/>
    <w:semiHidden/>
    <w:pPr>
      <w:pBdr/>
      <w:spacing/>
      <w:ind/>
    </w:pPr>
    <w:rPr>
      <w:sz w:val="20"/>
      <w:szCs w:val="20"/>
    </w:rPr>
  </w:style>
  <w:style w:type="character" w:styleId="185">
    <w:name w:val="endnote reference"/>
    <w:basedOn w:val="707"/>
    <w:uiPriority w:val="99"/>
    <w:semiHidden/>
    <w:unhideWhenUsed/>
    <w:pPr>
      <w:pBdr/>
      <w:spacing/>
      <w:ind/>
    </w:pPr>
    <w:rPr>
      <w:vertAlign w:val="superscript"/>
    </w:rPr>
  </w:style>
  <w:style w:type="character" w:styleId="186">
    <w:name w:val="Hyperlink"/>
    <w:basedOn w:val="707"/>
    <w:uiPriority w:val="99"/>
    <w:unhideWhenUsed/>
    <w:pPr>
      <w:pBdr/>
      <w:spacing/>
      <w:ind/>
    </w:pPr>
    <w:rPr>
      <w:color w:val="0563c1" w:themeColor="hyperlink"/>
      <w:u w:val="single"/>
    </w:rPr>
  </w:style>
  <w:style w:type="character" w:styleId="187">
    <w:name w:val="FollowedHyperlink"/>
    <w:basedOn w:val="707"/>
    <w:uiPriority w:val="99"/>
    <w:semiHidden/>
    <w:unhideWhenUsed/>
    <w:pPr>
      <w:pBdr/>
      <w:spacing/>
      <w:ind/>
    </w:pPr>
    <w:rPr>
      <w:color w:val="954f72" w:themeColor="followedHyperlink"/>
      <w:u w:val="single"/>
    </w:rPr>
  </w:style>
  <w:style w:type="paragraph" w:styleId="188">
    <w:name w:val="toc 1"/>
    <w:basedOn w:val="706"/>
    <w:next w:val="706"/>
    <w:uiPriority w:val="39"/>
    <w:unhideWhenUsed/>
    <w:pPr>
      <w:pBdr/>
      <w:spacing w:after="100"/>
      <w:ind/>
    </w:pPr>
  </w:style>
  <w:style w:type="paragraph" w:styleId="189">
    <w:name w:val="toc 2"/>
    <w:basedOn w:val="706"/>
    <w:next w:val="706"/>
    <w:uiPriority w:val="39"/>
    <w:unhideWhenUsed/>
    <w:pPr>
      <w:pBdr/>
      <w:spacing w:after="100"/>
      <w:ind w:left="220"/>
    </w:pPr>
  </w:style>
  <w:style w:type="paragraph" w:styleId="190">
    <w:name w:val="toc 3"/>
    <w:basedOn w:val="706"/>
    <w:next w:val="706"/>
    <w:uiPriority w:val="39"/>
    <w:unhideWhenUsed/>
    <w:pPr>
      <w:pBdr/>
      <w:spacing w:after="100"/>
      <w:ind w:left="440"/>
    </w:pPr>
  </w:style>
  <w:style w:type="paragraph" w:styleId="191">
    <w:name w:val="toc 4"/>
    <w:basedOn w:val="706"/>
    <w:next w:val="706"/>
    <w:uiPriority w:val="39"/>
    <w:unhideWhenUsed/>
    <w:pPr>
      <w:pBdr/>
      <w:spacing w:after="100"/>
      <w:ind w:left="660"/>
    </w:pPr>
  </w:style>
  <w:style w:type="paragraph" w:styleId="192">
    <w:name w:val="toc 5"/>
    <w:basedOn w:val="706"/>
    <w:next w:val="706"/>
    <w:uiPriority w:val="39"/>
    <w:unhideWhenUsed/>
    <w:pPr>
      <w:pBdr/>
      <w:spacing w:after="100"/>
      <w:ind w:left="880"/>
    </w:pPr>
  </w:style>
  <w:style w:type="paragraph" w:styleId="193">
    <w:name w:val="toc 6"/>
    <w:basedOn w:val="706"/>
    <w:next w:val="706"/>
    <w:uiPriority w:val="39"/>
    <w:unhideWhenUsed/>
    <w:pPr>
      <w:pBdr/>
      <w:spacing w:after="100"/>
      <w:ind w:left="1100"/>
    </w:pPr>
  </w:style>
  <w:style w:type="paragraph" w:styleId="194">
    <w:name w:val="toc 7"/>
    <w:basedOn w:val="706"/>
    <w:next w:val="706"/>
    <w:uiPriority w:val="39"/>
    <w:unhideWhenUsed/>
    <w:pPr>
      <w:pBdr/>
      <w:spacing w:after="100"/>
      <w:ind w:left="1320"/>
    </w:pPr>
  </w:style>
  <w:style w:type="paragraph" w:styleId="195">
    <w:name w:val="toc 8"/>
    <w:basedOn w:val="706"/>
    <w:next w:val="706"/>
    <w:uiPriority w:val="39"/>
    <w:unhideWhenUsed/>
    <w:pPr>
      <w:pBdr/>
      <w:spacing w:after="100"/>
      <w:ind w:left="1540"/>
    </w:pPr>
  </w:style>
  <w:style w:type="paragraph" w:styleId="196">
    <w:name w:val="toc 9"/>
    <w:basedOn w:val="706"/>
    <w:next w:val="706"/>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06"/>
    <w:next w:val="706"/>
    <w:uiPriority w:val="99"/>
    <w:unhideWhenUsed/>
    <w:pPr>
      <w:pBdr/>
      <w:spacing w:after="0" w:afterAutospacing="0"/>
      <w:ind/>
    </w:pPr>
  </w:style>
  <w:style w:type="paragraph" w:styleId="706" w:default="1">
    <w:name w:val="Normal"/>
    <w:qFormat/>
    <w:pPr>
      <w:pBdr/>
      <w:spacing/>
      <w:ind/>
    </w:pPr>
  </w:style>
  <w:style w:type="character" w:styleId="707" w:default="1">
    <w:name w:val="Default Paragraph Font"/>
    <w:uiPriority w:val="1"/>
    <w:semiHidden/>
    <w:unhideWhenUsed/>
    <w:pPr>
      <w:pBdr/>
      <w:spacing/>
      <w:ind/>
    </w:pPr>
  </w:style>
  <w:style w:type="table" w:styleId="708"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09" w:default="1">
    <w:name w:val="No List"/>
    <w:uiPriority w:val="99"/>
    <w:semiHidden/>
    <w:unhideWhenUsed/>
    <w:pPr>
      <w:pBdr/>
      <w:spacing/>
      <w:ind/>
    </w:pPr>
  </w:style>
  <w:style w:type="table" w:styleId="710">
    <w:name w:val="Table Grid"/>
    <w:basedOn w:val="708"/>
    <w:uiPriority w:val="59"/>
    <w:pPr>
      <w:pBdr/>
      <w:spacing w:after="0" w:line="240" w:lineRule="auto"/>
      <w:ind/>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11">
    <w:name w:val="Normal (Web)"/>
    <w:basedOn w:val="706"/>
    <w:uiPriority w:val="99"/>
    <w:unhideWhenUsed/>
    <w:pPr>
      <w:pBdr/>
      <w:spacing w:after="100" w:afterAutospacing="1" w:before="100" w:beforeAutospacing="1" w:line="240" w:lineRule="auto"/>
      <w:ind/>
    </w:pPr>
    <w:rPr>
      <w:rFonts w:ascii="Times New Roman" w:hAnsi="Times New Roman" w:eastAsia="Times New Roman" w:cs="Times New Roman"/>
      <w:sz w:val="24"/>
      <w:szCs w:val="24"/>
      <w:lang w:eastAsia="en-CA"/>
    </w:rPr>
  </w:style>
  <w:style w:type="paragraph" w:styleId="712">
    <w:name w:val="Balloon Text"/>
    <w:basedOn w:val="706"/>
    <w:link w:val="713"/>
    <w:uiPriority w:val="99"/>
    <w:semiHidden/>
    <w:unhideWhenUsed/>
    <w:pPr>
      <w:pBdr/>
      <w:spacing w:after="0" w:line="240" w:lineRule="auto"/>
      <w:ind/>
    </w:pPr>
    <w:rPr>
      <w:rFonts w:ascii="Tahoma" w:hAnsi="Tahoma" w:cs="Tahoma"/>
      <w:sz w:val="16"/>
      <w:szCs w:val="16"/>
    </w:rPr>
  </w:style>
  <w:style w:type="character" w:styleId="713" w:customStyle="1">
    <w:name w:val="Balloon Text Char"/>
    <w:basedOn w:val="707"/>
    <w:link w:val="712"/>
    <w:uiPriority w:val="99"/>
    <w:semiHidden/>
    <w:pPr>
      <w:pBdr/>
      <w:spacing/>
      <w:ind/>
    </w:pPr>
    <w:rPr>
      <w:rFonts w:ascii="Tahoma" w:hAnsi="Tahoma" w:cs="Tahoma"/>
      <w:sz w:val="16"/>
      <w:szCs w:val="16"/>
    </w:rPr>
  </w:style>
  <w:style w:type="paragraph" w:styleId="714">
    <w:name w:val="Header"/>
    <w:basedOn w:val="706"/>
    <w:link w:val="715"/>
    <w:uiPriority w:val="99"/>
    <w:unhideWhenUsed/>
    <w:pPr>
      <w:pBdr/>
      <w:tabs>
        <w:tab w:val="center" w:leader="none" w:pos="4680"/>
        <w:tab w:val="right" w:leader="none" w:pos="9360"/>
      </w:tabs>
      <w:spacing w:after="0" w:line="240" w:lineRule="auto"/>
      <w:ind/>
    </w:pPr>
  </w:style>
  <w:style w:type="character" w:styleId="715" w:customStyle="1">
    <w:name w:val="Header Char"/>
    <w:basedOn w:val="707"/>
    <w:link w:val="714"/>
    <w:uiPriority w:val="99"/>
    <w:pPr>
      <w:pBdr/>
      <w:spacing/>
      <w:ind/>
    </w:pPr>
  </w:style>
  <w:style w:type="paragraph" w:styleId="716">
    <w:name w:val="Footer"/>
    <w:basedOn w:val="706"/>
    <w:link w:val="717"/>
    <w:uiPriority w:val="99"/>
    <w:unhideWhenUsed/>
    <w:pPr>
      <w:pBdr/>
      <w:tabs>
        <w:tab w:val="center" w:leader="none" w:pos="4680"/>
        <w:tab w:val="right" w:leader="none" w:pos="9360"/>
      </w:tabs>
      <w:spacing w:after="0" w:line="240" w:lineRule="auto"/>
      <w:ind/>
    </w:pPr>
  </w:style>
  <w:style w:type="character" w:styleId="717" w:customStyle="1">
    <w:name w:val="Footer Char"/>
    <w:basedOn w:val="707"/>
    <w:link w:val="716"/>
    <w:uiPriority w:val="99"/>
    <w:pPr>
      <w:pBdr/>
      <w:spacing/>
      <w:ind/>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224D85-20D8-4718-8579-1A8ECF8D5D24}">
  <ds:schemaRefs>
    <ds:schemaRef ds:uri="http://schemas.microsoft.com/sharepoint/v3/contenttype/forms"/>
  </ds:schemaRefs>
</ds:datastoreItem>
</file>

<file path=customXml/itemProps2.xml><?xml version="1.0" encoding="utf-8"?>
<ds:datastoreItem xmlns:ds="http://schemas.openxmlformats.org/officeDocument/2006/customXml" ds:itemID="{884D3FA9-2AA9-4841-B4CD-98076C747107}">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4A52F576-0C8E-4E4A-B4E5-33D4AA1711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2025-07-01T18:00:22Z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