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302- Specialized Imaging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Study Guide Comparison Table Worksheet – ANSWER KEY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tbl>
      <w:tblPr>
        <w:tblStyle w:val="756"/>
        <w:tblW w:w="11154" w:type="dxa"/>
        <w:tblInd w:w="-714" w:type="dxa"/>
        <w:tblBorders/>
        <w:tblLook w:val="04A0" w:firstRow="1" w:lastRow="0" w:firstColumn="1" w:lastColumn="0" w:noHBand="0" w:noVBand="1"/>
      </w:tblPr>
      <w:tblGrid>
        <w:gridCol w:w="2410"/>
        <w:gridCol w:w="2410"/>
        <w:gridCol w:w="3457"/>
        <w:gridCol w:w="2877"/>
      </w:tblGrid>
      <w:tr>
        <w:trPr>
          <w:trHeight w:val="571"/>
        </w:trPr>
        <w:tc>
          <w:tcPr>
            <w:tcBorders/>
            <w:tcW w:w="2410" w:type="dxa"/>
            <w:textDirection w:val="lrTb"/>
            <w:noWrap w:val="false"/>
          </w:tcPr>
          <w:p>
            <w:pPr>
              <w:pBdr/>
              <w:spacing w:after="160"/>
              <w:ind/>
              <w:jc w:val="center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CHARACTERISTICS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</w:tc>
        <w:tc>
          <w:tcPr>
            <w:tcBorders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tabs>
                <w:tab w:val="center" w:leader="none" w:pos="1372"/>
                <w:tab w:val="center" w:leader="none" w:pos="2835"/>
              </w:tabs>
              <w:spacing/>
              <w:ind/>
              <w:jc w:val="center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 w:eastAsia="Cambria" w:cs="Cambria"/>
                <w:color w:val="auto"/>
                <w:sz w:val="24"/>
                <w:szCs w:val="24"/>
              </w:rPr>
              <w:t xml:space="preserve">ULTRASOUND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3457" w:type="dxa"/>
            <w:textDirection w:val="lrTb"/>
            <w:noWrap w:val="false"/>
          </w:tcPr>
          <w:p>
            <w:pPr>
              <w:pBdr/>
              <w:tabs>
                <w:tab w:val="center" w:leader="none" w:pos="1372"/>
                <w:tab w:val="center" w:leader="none" w:pos="2835"/>
              </w:tabs>
              <w:spacing/>
              <w:ind w:left="73"/>
              <w:jc w:val="center"/>
              <w:rPr>
                <w:rFonts w:ascii="Futura PT Book" w:hAnsi="Futura PT Book"/>
                <w:b w:val="0"/>
                <w:color w:val="auto"/>
                <w:sz w:val="24"/>
                <w:szCs w:val="24"/>
              </w:rPr>
            </w:pPr>
            <w:r>
              <w:rPr>
                <w:rFonts w:ascii="Futura PT Book" w:hAnsi="Futura PT Book" w:eastAsia="Cambria" w:cs="Cambria"/>
                <w:color w:val="auto"/>
                <w:sz w:val="24"/>
                <w:szCs w:val="24"/>
              </w:rPr>
              <w:t xml:space="preserve">MRI</w:t>
            </w:r>
            <w:r>
              <w:rPr>
                <w:rFonts w:ascii="Futura PT Book" w:hAnsi="Futura PT Book"/>
                <w:b w:val="0"/>
                <w:color w:val="auto"/>
                <w:sz w:val="24"/>
                <w:szCs w:val="24"/>
              </w:rPr>
            </w:r>
          </w:p>
        </w:tc>
        <w:tc>
          <w:tcPr>
            <w:tcBorders/>
            <w:tcW w:w="2877" w:type="dxa"/>
            <w:textDirection w:val="lrTb"/>
            <w:noWrap w:val="false"/>
          </w:tcPr>
          <w:p>
            <w:pPr>
              <w:pBdr/>
              <w:spacing/>
              <w:ind w:left="1"/>
              <w:jc w:val="center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 w:eastAsia="Cambria" w:cs="Cambria"/>
                <w:color w:val="auto"/>
                <w:sz w:val="24"/>
                <w:szCs w:val="24"/>
              </w:rPr>
              <w:t xml:space="preserve">S</w:t>
            </w:r>
            <w:r>
              <w:rPr>
                <w:rFonts w:ascii="Futura PT Book" w:hAnsi="Futura PT Book" w:eastAsia="Cambria" w:cs="Cambria"/>
                <w:color w:val="auto"/>
                <w:sz w:val="24"/>
                <w:szCs w:val="24"/>
              </w:rPr>
              <w:t xml:space="preserve">PE</w:t>
            </w:r>
            <w:r>
              <w:rPr>
                <w:rFonts w:ascii="Futura PT Book" w:hAnsi="Futura PT Book" w:eastAsia="Cambria" w:cs="Cambria"/>
                <w:color w:val="auto"/>
                <w:sz w:val="24"/>
                <w:szCs w:val="24"/>
              </w:rPr>
              <w:t xml:space="preserve">C</w:t>
            </w:r>
            <w:r>
              <w:rPr>
                <w:rFonts w:ascii="Futura PT Book" w:hAnsi="Futura PT Book" w:eastAsia="Cambria" w:cs="Cambria"/>
                <w:color w:val="auto"/>
                <w:sz w:val="24"/>
                <w:szCs w:val="24"/>
              </w:rPr>
              <w:t xml:space="preserve">T CT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</w:tc>
      </w:tr>
      <w:tr>
        <w:trPr>
          <w:trHeight w:val="1795"/>
        </w:trPr>
        <w:tc>
          <w:tcPr>
            <w:tcBorders/>
            <w:tcW w:w="2410" w:type="dxa"/>
            <w:textDirection w:val="lrTb"/>
            <w:noWrap w:val="false"/>
          </w:tcPr>
          <w:p>
            <w:pPr>
              <w:pBdr/>
              <w:spacing/>
              <w:ind w:right="77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 w:eastAsia="Cambria" w:cs="Cambria"/>
                <w:b/>
                <w:color w:val="auto"/>
                <w:sz w:val="24"/>
                <w:szCs w:val="24"/>
              </w:rPr>
              <w:t xml:space="preserve">Energy Used for the acquisition of information -Is there ionizing radiation present?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</w:tc>
        <w:tc>
          <w:tcPr>
            <w:tcBorders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 w:line="238" w:lineRule="auto"/>
              <w:ind w:left="2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-Sound waves 120MHz range or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  <w:p>
            <w:pPr>
              <w:pBdr/>
              <w:spacing/>
              <w:ind w:left="2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greater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  <w:p>
            <w:pPr>
              <w:pBdr/>
              <w:spacing/>
              <w:ind w:left="2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-no ionizing radiation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3457" w:type="dxa"/>
            <w:textDirection w:val="lrTb"/>
            <w:noWrap w:val="false"/>
          </w:tcPr>
          <w:p>
            <w:pPr>
              <w:pBdr/>
              <w:spacing/>
              <w:ind w:left="1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-Magnetic field and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  <w:p>
            <w:pPr>
              <w:pBdr/>
              <w:spacing/>
              <w:ind w:left="1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(pulsed) radio 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waves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  <w:p>
            <w:pPr>
              <w:pBdr/>
              <w:spacing/>
              <w:ind w:left="1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-No ionizing radiation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</w:tc>
        <w:tc>
          <w:tcPr>
            <w:tcBorders/>
            <w:tcW w:w="2877" w:type="dxa"/>
            <w:textDirection w:val="lrTb"/>
            <w:noWrap w:val="false"/>
          </w:tcPr>
          <w:p>
            <w:pPr>
              <w:pBdr/>
              <w:spacing/>
              <w:ind w:firstLine="53" w:left="1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-radioactive compounds emit positrons during radioactive decay process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</w:tc>
      </w:tr>
      <w:tr>
        <w:trPr>
          <w:trHeight w:val="2546"/>
        </w:trPr>
        <w:tc>
          <w:tcPr>
            <w:tcBorders/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 w:eastAsia="Cambria" w:cs="Cambria"/>
                <w:b/>
                <w:color w:val="auto"/>
                <w:sz w:val="24"/>
                <w:szCs w:val="24"/>
              </w:rPr>
              <w:t xml:space="preserve">ALARA- does it apply and if yes in what way, what effects could there be on the body? 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-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Yes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 it applies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  <w:p>
            <w:pPr>
              <w:pBdr/>
              <w:spacing w:after="2" w:line="238" w:lineRule="auto"/>
              <w:ind w:left="2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-(TI) Thermal changes are possible which is related to heating and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  <w:p>
            <w:pPr>
              <w:pBdr/>
              <w:spacing/>
              <w:ind w:left="2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other possibilities are (MI)mechanical changes in cell structure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</w:tc>
        <w:tc>
          <w:tcPr>
            <w:tcBorders/>
            <w:tcW w:w="3457" w:type="dxa"/>
            <w:textDirection w:val="lrTb"/>
            <w:noWrap w:val="false"/>
          </w:tcPr>
          <w:p>
            <w:pPr>
              <w:pBdr/>
              <w:spacing/>
              <w:ind w:left="1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-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Yes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 it applies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  <w:p>
            <w:pPr>
              <w:pBdr/>
              <w:spacing w:after="2" w:line="238" w:lineRule="auto"/>
              <w:ind w:right="38" w:left="1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-Thermal changes and tissue heating needs to be considered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  <w:p>
            <w:pPr>
              <w:pBdr/>
              <w:spacing/>
              <w:ind w:left="1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especially in a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  <w:p>
            <w:pPr>
              <w:pBdr/>
              <w:spacing/>
              <w:ind w:left="1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pregnant woman -Specific Absorption Ratio (SAR)- fetal heating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</w:tc>
        <w:tc>
          <w:tcPr>
            <w:tcBorders/>
            <w:tcW w:w="2877" w:type="dxa"/>
            <w:textDirection w:val="lrTb"/>
            <w:noWrap w:val="false"/>
          </w:tcPr>
          <w:p>
            <w:pPr>
              <w:pBdr/>
              <w:spacing/>
              <w:ind w:right="130" w:left="1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-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Yes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 radioactive material utilized -CT is used in coordination of scans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</w:tc>
      </w:tr>
      <w:tr>
        <w:trPr>
          <w:trHeight w:val="2820"/>
        </w:trPr>
        <w:tc>
          <w:tcPr>
            <w:tcBorders/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 w:eastAsia="Cambria" w:cs="Cambria"/>
                <w:b/>
                <w:color w:val="auto"/>
                <w:sz w:val="24"/>
                <w:szCs w:val="24"/>
              </w:rPr>
              <w:t xml:space="preserve">Is there any specific patient prep needed? 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Bdr/>
              <w:spacing w:line="238" w:lineRule="auto"/>
              <w:ind w:left="2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-Full bladder for pelvic exams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  <w:p>
            <w:pPr>
              <w:pBdr/>
              <w:spacing/>
              <w:ind w:left="2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-NPO for some abdominal exams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</w:tc>
        <w:tc>
          <w:tcPr>
            <w:tcBorders/>
            <w:tcW w:w="3457" w:type="dxa"/>
            <w:textDirection w:val="lrTb"/>
            <w:noWrap w:val="false"/>
          </w:tcPr>
          <w:p>
            <w:pPr>
              <w:pBdr/>
              <w:spacing w:line="238" w:lineRule="auto"/>
              <w:ind w:left="1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-All metal must be removed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  <w:p>
            <w:pPr>
              <w:pBdr/>
              <w:spacing w:line="239" w:lineRule="auto"/>
              <w:ind w:left="1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-Thorough screening form needs to be completed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  <w:p>
            <w:pPr>
              <w:pBdr/>
              <w:spacing/>
              <w:ind w:left="1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-Orbital x-rays for FB -creatine needs to be determined if contrast is needed (check kidney function)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</w:tc>
        <w:tc>
          <w:tcPr>
            <w:tcBorders/>
            <w:tcW w:w="2877" w:type="dxa"/>
            <w:textDirection w:val="lrTb"/>
            <w:noWrap w:val="false"/>
          </w:tcPr>
          <w:p>
            <w:pPr>
              <w:pBdr/>
              <w:spacing/>
              <w:ind w:right="174" w:left="1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-NPO for some exams up to 6 hours before May 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have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 to follow special diet 12-24 hours before exam Special prep may be needed if diabetic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</w:tc>
      </w:tr>
      <w:tr>
        <w:trPr>
          <w:trHeight w:val="2828"/>
        </w:trPr>
        <w:tc>
          <w:tcPr>
            <w:tcBorders/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 w:eastAsia="Cambria" w:cs="Cambria"/>
                <w:b/>
                <w:color w:val="auto"/>
                <w:sz w:val="24"/>
                <w:szCs w:val="24"/>
              </w:rPr>
              <w:t xml:space="preserve">Are there any contraindications for this modality? 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-No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</w:tc>
        <w:tc>
          <w:tcPr>
            <w:tcBorders/>
            <w:tcW w:w="3457" w:type="dxa"/>
            <w:textDirection w:val="lrTb"/>
            <w:noWrap w:val="false"/>
          </w:tcPr>
          <w:p>
            <w:pPr>
              <w:pBdr/>
              <w:spacing/>
              <w:ind w:left="1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-Yes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  <w:p>
            <w:pPr>
              <w:pBdr/>
              <w:spacing/>
              <w:ind w:left="1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-Pacemakers, cochlear implants, metallic fragments in eye, old style aneurysm clips, internal pain pumps, bone growth stimulators, some surgical clips, pregnancy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</w:tc>
        <w:tc>
          <w:tcPr>
            <w:tcBorders/>
            <w:tcW w:w="2877" w:type="dxa"/>
            <w:textDirection w:val="lrTb"/>
            <w:noWrap w:val="false"/>
          </w:tcPr>
          <w:p>
            <w:pPr>
              <w:pBdr/>
              <w:spacing/>
              <w:ind w:left="1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-Pregnancy or breast feeding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  <w:p>
            <w:pPr>
              <w:pBdr/>
              <w:spacing/>
              <w:ind w:left="1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-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</w:tc>
      </w:tr>
      <w:tr>
        <w:trPr>
          <w:trHeight w:val="852"/>
        </w:trPr>
        <w:tc>
          <w:tcPr>
            <w:tcBorders/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 w:eastAsia="Cambria" w:cs="Cambria"/>
                <w:b/>
                <w:color w:val="auto"/>
                <w:sz w:val="24"/>
                <w:szCs w:val="24"/>
              </w:rPr>
              <w:t xml:space="preserve">What are </w:t>
            </w:r>
            <w:r>
              <w:rPr>
                <w:rFonts w:ascii="Futura PT Book" w:hAnsi="Futura PT Book" w:eastAsia="Cambria" w:cs="Cambria"/>
                <w:b/>
                <w:color w:val="auto"/>
                <w:sz w:val="24"/>
                <w:szCs w:val="24"/>
              </w:rPr>
              <w:t xml:space="preserve">limitations</w:t>
            </w:r>
            <w:r>
              <w:rPr>
                <w:rFonts w:ascii="Futura PT Book" w:hAnsi="Futura PT Book" w:eastAsia="Cambria" w:cs="Cambria"/>
                <w:b/>
                <w:color w:val="auto"/>
                <w:sz w:val="24"/>
                <w:szCs w:val="24"/>
              </w:rPr>
              <w:t xml:space="preserve"> of this modality? 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-Limited ability to see air and bone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</w:tc>
        <w:tc>
          <w:tcPr>
            <w:tcBorders/>
            <w:tcW w:w="3457" w:type="dxa"/>
            <w:textDirection w:val="lrTb"/>
            <w:noWrap w:val="false"/>
          </w:tcPr>
          <w:p>
            <w:pPr>
              <w:pBdr/>
              <w:spacing/>
              <w:ind w:left="1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-Bone does not produce an MRI signal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</w:tc>
        <w:tc>
          <w:tcPr>
            <w:tcBorders/>
            <w:tcW w:w="2877" w:type="dxa"/>
            <w:textDirection w:val="lrTb"/>
            <w:noWrap w:val="false"/>
          </w:tcPr>
          <w:p>
            <w:pPr>
              <w:pBdr/>
              <w:spacing/>
              <w:ind w:left="1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-Exam and scan times are long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</w:tc>
      </w:tr>
      <w:tr>
        <w:trPr>
          <w:trHeight w:val="1978"/>
        </w:trPr>
        <w:tc>
          <w:tcPr>
            <w:tcBorders/>
            <w:tcW w:w="2410" w:type="dxa"/>
            <w:textDirection w:val="lrTb"/>
            <w:noWrap w:val="false"/>
          </w:tcPr>
          <w:p>
            <w:pPr>
              <w:pBdr/>
              <w:spacing w:line="239" w:lineRule="auto"/>
              <w:ind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 w:eastAsia="Cambria" w:cs="Cambria"/>
                <w:b/>
                <w:color w:val="auto"/>
                <w:sz w:val="24"/>
                <w:szCs w:val="24"/>
              </w:rPr>
              <w:t xml:space="preserve">What is </w:t>
            </w:r>
            <w:r>
              <w:rPr>
                <w:rFonts w:ascii="Futura PT Book" w:hAnsi="Futura PT Book" w:eastAsia="Cambria" w:cs="Cambria"/>
                <w:b/>
                <w:color w:val="auto"/>
                <w:sz w:val="24"/>
                <w:szCs w:val="24"/>
              </w:rPr>
              <w:t xml:space="preserve">a gold</w:t>
            </w:r>
            <w:r>
              <w:rPr>
                <w:rFonts w:ascii="Futura PT Book" w:hAnsi="Futura PT Book" w:eastAsia="Cambria" w:cs="Cambria"/>
                <w:b/>
                <w:color w:val="auto"/>
                <w:sz w:val="24"/>
                <w:szCs w:val="24"/>
              </w:rPr>
              <w:t xml:space="preserve"> standard of this modality? 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 w:eastAsia="Cambria" w:cs="Cambr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 w:eastAsia="Cambria" w:cs="Cambr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-Gold standard for liver, kidneys, gallbladder, 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uterus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 and blood vessels 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</w:tc>
        <w:tc>
          <w:tcPr>
            <w:tcBorders/>
            <w:tcW w:w="3457" w:type="dxa"/>
            <w:textDirection w:val="lrTb"/>
            <w:noWrap w:val="false"/>
          </w:tcPr>
          <w:p>
            <w:pPr>
              <w:pBdr/>
              <w:spacing w:line="239" w:lineRule="auto"/>
              <w:ind w:left="1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-Superior soft tissue contrast resolution compared to CT 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  <w:p>
            <w:pPr>
              <w:pBdr/>
              <w:spacing/>
              <w:ind w:left="1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-Better than CT for base of the brain and spinal cord visualization 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</w:tc>
        <w:tc>
          <w:tcPr>
            <w:tcBorders/>
            <w:tcW w:w="2877" w:type="dxa"/>
            <w:textDirection w:val="lrTb"/>
            <w:noWrap w:val="false"/>
          </w:tcPr>
          <w:p>
            <w:pPr>
              <w:pBdr/>
              <w:spacing/>
              <w:ind w:left="1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  <w:p>
            <w:pPr>
              <w:pBdr/>
              <w:spacing/>
              <w:ind w:left="1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-Brain mapping, CNS system tumours imaging, 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  <w:p>
            <w:pPr>
              <w:pBdr/>
              <w:spacing/>
              <w:ind w:left="1"/>
              <w:rPr>
                <w:rFonts w:ascii="Futura PT Book" w:hAnsi="Futura PT Book"/>
                <w:color w:val="auto"/>
                <w:sz w:val="24"/>
                <w:szCs w:val="24"/>
              </w:rPr>
            </w:pPr>
            <w:r>
              <w:rPr>
                <w:rFonts w:ascii="Futura PT Book" w:hAnsi="Futura PT Book"/>
                <w:color w:val="auto"/>
                <w:sz w:val="24"/>
                <w:szCs w:val="24"/>
              </w:rPr>
              <w:t xml:space="preserve">and evaluation of dementia </w:t>
            </w:r>
            <w:r>
              <w:rPr>
                <w:rFonts w:ascii="Futura PT Book" w:hAnsi="Futura PT Book"/>
                <w:color w:val="auto"/>
                <w:sz w:val="24"/>
                <w:szCs w:val="24"/>
              </w:rPr>
            </w:r>
          </w:p>
        </w:tc>
      </w:tr>
    </w:tbl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Medium">
    <w:panose1 w:val="020B060303080402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50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52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2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2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54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2"/>
      <w:pBdr/>
      <w:spacing/>
      <w:ind/>
      <w:jc w:val="center"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37870" cy="790575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18388765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737869" cy="7905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8.10pt;height:62.25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4"/>
    <w:next w:val="744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44"/>
    <w:next w:val="744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4"/>
    <w:next w:val="74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4"/>
    <w:next w:val="744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4"/>
    <w:next w:val="744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49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49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9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9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9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4"/>
    <w:next w:val="744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9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4"/>
    <w:next w:val="744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9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4"/>
    <w:next w:val="744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9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4"/>
    <w:next w:val="744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9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4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9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9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4"/>
    <w:next w:val="74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4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9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9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4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9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9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4"/>
    <w:next w:val="744"/>
    <w:uiPriority w:val="39"/>
    <w:unhideWhenUsed/>
    <w:pPr>
      <w:pBdr/>
      <w:spacing w:after="100"/>
      <w:ind/>
    </w:pPr>
  </w:style>
  <w:style w:type="paragraph" w:styleId="189">
    <w:name w:val="toc 2"/>
    <w:basedOn w:val="744"/>
    <w:next w:val="744"/>
    <w:uiPriority w:val="39"/>
    <w:unhideWhenUsed/>
    <w:pPr>
      <w:pBdr/>
      <w:spacing w:after="100"/>
      <w:ind w:left="220"/>
    </w:pPr>
  </w:style>
  <w:style w:type="paragraph" w:styleId="190">
    <w:name w:val="toc 3"/>
    <w:basedOn w:val="744"/>
    <w:next w:val="744"/>
    <w:uiPriority w:val="39"/>
    <w:unhideWhenUsed/>
    <w:pPr>
      <w:pBdr/>
      <w:spacing w:after="100"/>
      <w:ind w:left="440"/>
    </w:pPr>
  </w:style>
  <w:style w:type="paragraph" w:styleId="191">
    <w:name w:val="toc 4"/>
    <w:basedOn w:val="744"/>
    <w:next w:val="744"/>
    <w:uiPriority w:val="39"/>
    <w:unhideWhenUsed/>
    <w:pPr>
      <w:pBdr/>
      <w:spacing w:after="100"/>
      <w:ind w:left="660"/>
    </w:pPr>
  </w:style>
  <w:style w:type="paragraph" w:styleId="192">
    <w:name w:val="toc 5"/>
    <w:basedOn w:val="744"/>
    <w:next w:val="744"/>
    <w:uiPriority w:val="39"/>
    <w:unhideWhenUsed/>
    <w:pPr>
      <w:pBdr/>
      <w:spacing w:after="100"/>
      <w:ind w:left="880"/>
    </w:pPr>
  </w:style>
  <w:style w:type="paragraph" w:styleId="193">
    <w:name w:val="toc 6"/>
    <w:basedOn w:val="744"/>
    <w:next w:val="744"/>
    <w:uiPriority w:val="39"/>
    <w:unhideWhenUsed/>
    <w:pPr>
      <w:pBdr/>
      <w:spacing w:after="100"/>
      <w:ind w:left="1100"/>
    </w:pPr>
  </w:style>
  <w:style w:type="paragraph" w:styleId="194">
    <w:name w:val="toc 7"/>
    <w:basedOn w:val="744"/>
    <w:next w:val="744"/>
    <w:uiPriority w:val="39"/>
    <w:unhideWhenUsed/>
    <w:pPr>
      <w:pBdr/>
      <w:spacing w:after="100"/>
      <w:ind w:left="1320"/>
    </w:pPr>
  </w:style>
  <w:style w:type="paragraph" w:styleId="195">
    <w:name w:val="toc 8"/>
    <w:basedOn w:val="744"/>
    <w:next w:val="744"/>
    <w:uiPriority w:val="39"/>
    <w:unhideWhenUsed/>
    <w:pPr>
      <w:pBdr/>
      <w:spacing w:after="100"/>
      <w:ind w:left="1540"/>
    </w:pPr>
  </w:style>
  <w:style w:type="paragraph" w:styleId="196">
    <w:name w:val="toc 9"/>
    <w:basedOn w:val="744"/>
    <w:next w:val="744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4"/>
    <w:next w:val="744"/>
    <w:uiPriority w:val="99"/>
    <w:unhideWhenUsed/>
    <w:pPr>
      <w:pBdr/>
      <w:spacing w:after="0" w:afterAutospacing="0"/>
      <w:ind/>
    </w:pPr>
  </w:style>
  <w:style w:type="paragraph" w:styleId="744" w:default="1">
    <w:name w:val="Normal"/>
    <w:qFormat/>
    <w:pPr>
      <w:pBdr/>
      <w:spacing/>
      <w:ind/>
    </w:pPr>
  </w:style>
  <w:style w:type="paragraph" w:styleId="745">
    <w:name w:val="Heading 1"/>
    <w:basedOn w:val="744"/>
    <w:link w:val="759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6">
    <w:name w:val="Heading 2"/>
    <w:basedOn w:val="744"/>
    <w:next w:val="744"/>
    <w:link w:val="760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7">
    <w:name w:val="Heading 3"/>
    <w:basedOn w:val="744"/>
    <w:next w:val="744"/>
    <w:link w:val="768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48">
    <w:name w:val="Heading 5"/>
    <w:basedOn w:val="744"/>
    <w:next w:val="744"/>
    <w:link w:val="769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49" w:default="1">
    <w:name w:val="Default Paragraph Font"/>
    <w:uiPriority w:val="1"/>
    <w:semiHidden/>
    <w:unhideWhenUsed/>
    <w:pPr>
      <w:pBdr/>
      <w:spacing/>
      <w:ind/>
    </w:pPr>
  </w:style>
  <w:style w:type="table" w:styleId="75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1" w:default="1">
    <w:name w:val="No List"/>
    <w:uiPriority w:val="99"/>
    <w:semiHidden/>
    <w:unhideWhenUsed/>
    <w:pPr>
      <w:pBdr/>
      <w:spacing/>
      <w:ind/>
    </w:pPr>
  </w:style>
  <w:style w:type="paragraph" w:styleId="752">
    <w:name w:val="Header"/>
    <w:basedOn w:val="744"/>
    <w:link w:val="753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3" w:customStyle="1">
    <w:name w:val="Header Char"/>
    <w:basedOn w:val="749"/>
    <w:link w:val="752"/>
    <w:uiPriority w:val="99"/>
    <w:pPr>
      <w:pBdr/>
      <w:spacing/>
      <w:ind/>
    </w:pPr>
  </w:style>
  <w:style w:type="paragraph" w:styleId="754">
    <w:name w:val="Footer"/>
    <w:basedOn w:val="744"/>
    <w:link w:val="75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5" w:customStyle="1">
    <w:name w:val="Footer Char"/>
    <w:basedOn w:val="749"/>
    <w:link w:val="754"/>
    <w:uiPriority w:val="99"/>
    <w:pPr>
      <w:pBdr/>
      <w:spacing/>
      <w:ind/>
    </w:pPr>
  </w:style>
  <w:style w:type="table" w:styleId="756" w:customStyle="1">
    <w:name w:val="Proposal Table"/>
    <w:basedOn w:val="750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7">
    <w:name w:val="Placeholder Text"/>
    <w:basedOn w:val="749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8">
    <w:name w:val="Normal (Web)"/>
    <w:basedOn w:val="744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59" w:customStyle="1">
    <w:name w:val="Heading 1 Char"/>
    <w:basedOn w:val="749"/>
    <w:link w:val="745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0" w:customStyle="1">
    <w:name w:val="Heading 2 Char"/>
    <w:basedOn w:val="749"/>
    <w:link w:val="746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1">
    <w:name w:val="Table Grid"/>
    <w:basedOn w:val="750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2">
    <w:name w:val="Body Text"/>
    <w:basedOn w:val="744"/>
    <w:link w:val="763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3" w:customStyle="1">
    <w:name w:val="Body Text Char"/>
    <w:basedOn w:val="749"/>
    <w:link w:val="762"/>
    <w:pPr>
      <w:pBdr/>
      <w:spacing/>
      <w:ind/>
    </w:pPr>
    <w:rPr>
      <w:rFonts w:ascii="Cambria" w:hAnsi="Cambria" w:eastAsia="Cambria"/>
      <w:lang w:val="en-US"/>
    </w:rPr>
  </w:style>
  <w:style w:type="paragraph" w:styleId="764" w:customStyle="1">
    <w:name w:val="Table Paragraph"/>
    <w:basedOn w:val="744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5">
    <w:name w:val="No Spacing"/>
    <w:link w:val="766"/>
    <w:uiPriority w:val="1"/>
    <w:qFormat/>
    <w:pPr>
      <w:pBdr/>
      <w:spacing w:after="0" w:line="240" w:lineRule="auto"/>
      <w:ind/>
    </w:pPr>
    <w:rPr>
      <w:lang w:val="en-US"/>
    </w:rPr>
  </w:style>
  <w:style w:type="character" w:styleId="766" w:customStyle="1">
    <w:name w:val="No Spacing Char"/>
    <w:link w:val="765"/>
    <w:uiPriority w:val="1"/>
    <w:pPr>
      <w:pBdr/>
      <w:spacing/>
      <w:ind/>
    </w:pPr>
    <w:rPr>
      <w:lang w:val="en-US"/>
    </w:rPr>
  </w:style>
  <w:style w:type="paragraph" w:styleId="767">
    <w:name w:val="List Paragraph"/>
    <w:basedOn w:val="744"/>
    <w:uiPriority w:val="1"/>
    <w:qFormat/>
    <w:pPr>
      <w:pBdr/>
      <w:spacing/>
      <w:ind w:left="720"/>
      <w:contextualSpacing w:val="true"/>
    </w:pPr>
  </w:style>
  <w:style w:type="character" w:styleId="768" w:customStyle="1">
    <w:name w:val="Heading 3 Char"/>
    <w:basedOn w:val="749"/>
    <w:link w:val="74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69" w:customStyle="1">
    <w:name w:val="Heading 5 Char"/>
    <w:basedOn w:val="749"/>
    <w:link w:val="748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  <w:style w:type="table" w:styleId="770" w:customStyle="1">
    <w:name w:val="Table Grid"/>
    <w:pPr>
      <w:pBdr/>
      <w:spacing w:after="0" w:line="240" w:lineRule="auto"/>
      <w:ind/>
    </w:pPr>
    <w:rPr>
      <w:rFonts w:eastAsiaTheme="minorEastAsia"/>
      <w:sz w:val="24"/>
      <w:szCs w:val="24"/>
      <w:lang w:eastAsia="en-CA"/>
      <w14:ligatures w14:val="standardContextual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57A8188-4855-45D5-B7D2-FDD0AA2A3388}"/>
</file>

<file path=customXml/itemProps2.xml><?xml version="1.0" encoding="utf-8"?>
<ds:datastoreItem xmlns:ds="http://schemas.openxmlformats.org/officeDocument/2006/customXml" ds:itemID="{3ECF7E2D-FC33-45D3-B669-08B1F1AEECEF}"/>
</file>

<file path=customXml/itemProps3.xml><?xml version="1.0" encoding="utf-8"?>
<ds:datastoreItem xmlns:ds="http://schemas.openxmlformats.org/officeDocument/2006/customXml" ds:itemID="{0D0877F0-A6D8-4304-9B33-E5F8B9545B74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2025-07-04T20:13:58Z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