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274" w:rsidRDefault="00B90274">
      <w:pPr>
        <w:spacing w:after="138" w:line="267" w:lineRule="auto"/>
        <w:ind w:left="491"/>
        <w:jc w:val="center"/>
        <w:rPr>
          <w:rFonts w:ascii="Futura PT Demi" w:eastAsia="Arial" w:hAnsi="Futura PT Demi" w:cs="Arial"/>
          <w:b/>
          <w:bCs/>
          <w:sz w:val="28"/>
          <w:szCs w:val="28"/>
        </w:rPr>
      </w:pPr>
    </w:p>
    <w:p w:rsidR="00515EE9" w:rsidRDefault="008349E5">
      <w:pPr>
        <w:spacing w:after="138" w:line="267" w:lineRule="auto"/>
        <w:ind w:left="491"/>
        <w:jc w:val="center"/>
        <w:rPr>
          <w:rFonts w:ascii="Futura PT Demi" w:eastAsia="Arial" w:hAnsi="Futura PT Demi" w:cs="Arial"/>
          <w:b/>
          <w:bCs/>
          <w:sz w:val="28"/>
          <w:szCs w:val="28"/>
        </w:rPr>
      </w:pPr>
      <w:r>
        <w:rPr>
          <w:rFonts w:ascii="Futura PT Demi" w:eastAsia="Arial" w:hAnsi="Futura PT Demi" w:cs="Arial"/>
          <w:b/>
          <w:bCs/>
          <w:sz w:val="28"/>
          <w:szCs w:val="28"/>
        </w:rPr>
        <w:t>Worksheet – Pathology – ANSWER KEY</w:t>
      </w:r>
    </w:p>
    <w:p w:rsidR="00515EE9" w:rsidRDefault="008349E5">
      <w:pPr>
        <w:pStyle w:val="ListParagraph"/>
        <w:numPr>
          <w:ilvl w:val="0"/>
          <w:numId w:val="3"/>
        </w:numPr>
        <w:spacing w:after="138" w:line="267" w:lineRule="auto"/>
      </w:pPr>
      <w:r>
        <w:rPr>
          <w:rFonts w:ascii="Arial" w:eastAsia="Arial" w:hAnsi="Arial" w:cs="Arial"/>
          <w:sz w:val="20"/>
        </w:rPr>
        <w:t xml:space="preserve">Define </w:t>
      </w:r>
      <w:proofErr w:type="spellStart"/>
      <w:r>
        <w:rPr>
          <w:rFonts w:ascii="Arial" w:eastAsia="Arial" w:hAnsi="Arial" w:cs="Arial"/>
          <w:sz w:val="20"/>
        </w:rPr>
        <w:t>spina</w:t>
      </w:r>
      <w:proofErr w:type="spellEnd"/>
      <w:r>
        <w:rPr>
          <w:rFonts w:ascii="Arial" w:eastAsia="Arial" w:hAnsi="Arial" w:cs="Arial"/>
          <w:sz w:val="20"/>
        </w:rPr>
        <w:t xml:space="preserve"> bifida and list four different types.</w:t>
      </w:r>
    </w:p>
    <w:p w:rsidR="00515EE9" w:rsidRDefault="008349E5">
      <w:pPr>
        <w:spacing w:after="0" w:line="427" w:lineRule="auto"/>
        <w:ind w:left="811" w:right="1746" w:hanging="91"/>
        <w:rPr>
          <w:rFonts w:ascii="Arial" w:eastAsia="Arial" w:hAnsi="Arial" w:cs="Arial"/>
          <w:b/>
          <w:i/>
          <w:sz w:val="20"/>
        </w:rPr>
      </w:pPr>
      <w:r>
        <w:rPr>
          <w:rFonts w:ascii="Arial" w:eastAsia="Arial" w:hAnsi="Arial" w:cs="Arial"/>
          <w:b/>
          <w:i/>
          <w:sz w:val="20"/>
        </w:rPr>
        <w:t xml:space="preserve">Incomplete closure of the vertebral canal that houses the spinal cord </w:t>
      </w:r>
    </w:p>
    <w:p w:rsidR="00515EE9" w:rsidRDefault="008349E5">
      <w:pPr>
        <w:spacing w:after="0" w:line="427" w:lineRule="auto"/>
        <w:ind w:left="811" w:right="1746" w:hanging="91"/>
      </w:pPr>
      <w:r>
        <w:rPr>
          <w:rFonts w:ascii="Arial" w:eastAsia="Arial" w:hAnsi="Arial" w:cs="Arial"/>
          <w:b/>
          <w:i/>
          <w:sz w:val="20"/>
        </w:rPr>
        <w:t xml:space="preserve">A) </w:t>
      </w:r>
      <w:proofErr w:type="spellStart"/>
      <w:r>
        <w:rPr>
          <w:rFonts w:ascii="Arial" w:eastAsia="Arial" w:hAnsi="Arial" w:cs="Arial"/>
          <w:b/>
          <w:i/>
          <w:sz w:val="20"/>
        </w:rPr>
        <w:t>spina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bifida </w:t>
      </w:r>
      <w:proofErr w:type="spellStart"/>
      <w:r>
        <w:rPr>
          <w:rFonts w:ascii="Arial" w:eastAsia="Arial" w:hAnsi="Arial" w:cs="Arial"/>
          <w:b/>
          <w:i/>
          <w:sz w:val="20"/>
        </w:rPr>
        <w:t>occulta</w:t>
      </w:r>
      <w:proofErr w:type="spellEnd"/>
    </w:p>
    <w:p w:rsidR="00515EE9" w:rsidRDefault="008349E5">
      <w:pPr>
        <w:numPr>
          <w:ilvl w:val="1"/>
          <w:numId w:val="1"/>
        </w:numPr>
        <w:spacing w:after="156" w:line="265" w:lineRule="auto"/>
        <w:ind w:hanging="264"/>
      </w:pPr>
      <w:proofErr w:type="spellStart"/>
      <w:r>
        <w:rPr>
          <w:rFonts w:ascii="Arial" w:eastAsia="Arial" w:hAnsi="Arial" w:cs="Arial"/>
          <w:b/>
          <w:i/>
          <w:sz w:val="20"/>
        </w:rPr>
        <w:t>meningocele</w:t>
      </w:r>
      <w:proofErr w:type="spellEnd"/>
    </w:p>
    <w:p w:rsidR="00515EE9" w:rsidRDefault="008349E5">
      <w:pPr>
        <w:numPr>
          <w:ilvl w:val="1"/>
          <w:numId w:val="1"/>
        </w:numPr>
        <w:spacing w:after="156" w:line="265" w:lineRule="auto"/>
        <w:ind w:hanging="264"/>
      </w:pPr>
      <w:proofErr w:type="spellStart"/>
      <w:r>
        <w:rPr>
          <w:rFonts w:ascii="Arial" w:eastAsia="Arial" w:hAnsi="Arial" w:cs="Arial"/>
          <w:b/>
          <w:i/>
          <w:sz w:val="20"/>
        </w:rPr>
        <w:t>myelocele</w:t>
      </w:r>
      <w:proofErr w:type="spellEnd"/>
    </w:p>
    <w:p w:rsidR="00515EE9" w:rsidRDefault="008349E5">
      <w:pPr>
        <w:numPr>
          <w:ilvl w:val="1"/>
          <w:numId w:val="1"/>
        </w:numPr>
        <w:spacing w:after="501" w:line="265" w:lineRule="auto"/>
        <w:ind w:hanging="264"/>
      </w:pPr>
      <w:r>
        <w:rPr>
          <w:rFonts w:ascii="Arial" w:eastAsia="Arial" w:hAnsi="Arial" w:cs="Arial"/>
          <w:b/>
          <w:i/>
          <w:sz w:val="20"/>
        </w:rPr>
        <w:t>myelomeningocele</w:t>
      </w:r>
    </w:p>
    <w:p w:rsidR="00515EE9" w:rsidRDefault="008349E5">
      <w:pPr>
        <w:numPr>
          <w:ilvl w:val="0"/>
          <w:numId w:val="1"/>
        </w:numPr>
        <w:spacing w:after="761" w:line="265" w:lineRule="auto"/>
        <w:ind w:hanging="415"/>
      </w:pPr>
      <w:r>
        <w:rPr>
          <w:rFonts w:ascii="Arial" w:eastAsia="Arial" w:hAnsi="Arial" w:cs="Arial"/>
          <w:sz w:val="20"/>
        </w:rPr>
        <w:t xml:space="preserve">Why is infection control of paramount importance when working with a patient that has a myelomeningocele? </w:t>
      </w:r>
      <w:r>
        <w:rPr>
          <w:rFonts w:ascii="Arial" w:eastAsia="Arial" w:hAnsi="Arial" w:cs="Arial"/>
          <w:b/>
          <w:i/>
          <w:sz w:val="20"/>
        </w:rPr>
        <w:t>Any abnormal opening in the body can provides a route for infective pathogens. A person with a myelomeningocele has an abnormal openi</w:t>
      </w:r>
      <w:r>
        <w:rPr>
          <w:rFonts w:ascii="Arial" w:eastAsia="Arial" w:hAnsi="Arial" w:cs="Arial"/>
          <w:b/>
          <w:i/>
          <w:sz w:val="20"/>
        </w:rPr>
        <w:t>ng into the spinal canal.</w:t>
      </w:r>
    </w:p>
    <w:p w:rsidR="00515EE9" w:rsidRDefault="008349E5">
      <w:pPr>
        <w:numPr>
          <w:ilvl w:val="0"/>
          <w:numId w:val="1"/>
        </w:numPr>
        <w:spacing w:after="172" w:line="267" w:lineRule="auto"/>
        <w:ind w:hanging="415"/>
      </w:pPr>
      <w:r>
        <w:rPr>
          <w:rFonts w:ascii="Arial" w:eastAsia="Arial" w:hAnsi="Arial" w:cs="Arial"/>
          <w:sz w:val="20"/>
        </w:rPr>
        <w:t>Define hydrocephalus and describe the difference between communicating and non-communicating hydrocephalus.</w:t>
      </w:r>
    </w:p>
    <w:p w:rsidR="00515EE9" w:rsidRDefault="008349E5">
      <w:pPr>
        <w:spacing w:after="721" w:line="249" w:lineRule="auto"/>
        <w:ind w:left="715" w:hanging="10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2" name="Group 1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3" name="Rectangle 13"/>
                        <wps:cNvSpPr/>
                        <wps:spPr bwMode="auto">
                          <a:xfrm>
                            <a:off x="477012" y="54111"/>
                            <a:ext cx="93564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 bwMode="auto">
                          <a:xfrm>
                            <a:off x="547089" y="54111"/>
                            <a:ext cx="46741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 bwMode="auto">
                          <a:xfrm>
                            <a:off x="684200" y="90791"/>
                            <a:ext cx="520674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 bwMode="auto">
                          <a:xfrm>
                            <a:off x="1075665" y="54111"/>
                            <a:ext cx="3668282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proofErr w:type="spellStart"/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rogram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– ANPH 202: Anatomy and Pathology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 bwMode="auto">
                          <a:xfrm>
                            <a:off x="684200" y="243094"/>
                            <a:ext cx="170392" cy="223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 bwMode="auto"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515EE9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Freeform 19"/>
                        <wps:cNvSpPr/>
                        <wps:spPr bwMode="auto"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 extrusionOk="0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Freeform 20"/>
                        <wps:cNvSpPr/>
                        <wps:spPr bwMode="auto"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Freeform 21"/>
                        <wps:cNvSpPr/>
                        <wps:spPr bwMode="auto"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 22"/>
                        <wps:cNvSpPr/>
                        <wps:spPr bwMode="auto"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 extrusionOk="0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 23"/>
                        <wps:cNvSpPr/>
                        <wps:spPr bwMode="auto"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11" o:spid="_x0000_s0000" style="position:absolute;z-index:251659264;o:allowoverlap:true;o:allowincell:true;mso-position-horizontal-relative:page;margin-left:72.00pt;mso-position-horizontal:absolute;mso-position-vertical-relative:page;margin-top:708.48pt;mso-position-vertical:absolute;width:468.00pt;height:33.00pt;mso-wrap-distance-left:9.00pt;mso-wrap-distance-top:0.00pt;mso-wrap-distance-right:9.00pt;mso-wrap-distance-bottom:0.00pt;" coordorigin="0,0" coordsize="59436,4191">
                <v:shape id="shape 12" o:spid="_x0000_s12" o:spt="1" type="#_x0000_t1" style="position:absolute;left:4770;top:541;width:935;height:2345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1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5470;top:541;width:467;height:234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6842;top:907;width:5206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MRT P</w:t>
                        </w:r>
                        <w:r/>
                      </w:p>
                    </w:txbxContent>
                  </v:textbox>
                </v:shape>
                <v:shape id="shape 15" o:spid="_x0000_s15" o:spt="1" type="#_x0000_t1" style="position:absolute;left:10756;top:541;width:36682;height:234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rogram</w:t>
                        </w: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– ANPH 202: Anatomy and Pathology </w:t>
                        </w:r>
                        <w:r/>
                      </w:p>
                    </w:txbxContent>
                  </v:textbox>
                </v:shape>
                <v:shape id="shape 16" o:spid="_x0000_s16" o:spt="1" type="#_x0000_t1" style="position:absolute;left:6842;top:2430;width:1703;height:223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7" o:spid="_x0000_s17" o:spt="1" type="#_x0000_t1" style="position:absolute;left:8122;top:2782;width:13373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xbxContent>
                  </v:textbox>
                </v:shape>
                <v:shape id="shape 18" o:spid="_x0000_s18" style="position:absolute;left:0;top:0;width:6019;height:274;visibility:visible;" path="m0,0l100000,0l100000,100000l0,100000l0,0e" coordsize="100000,100000" fillcolor="#005EB8" strokeweight="0.00pt">
                  <v:path textboxrect="0,0,0,0"/>
                </v:shape>
                <v:shape id="shape 19" o:spid="_x0000_s19" style="position:absolute;left:6019;top:274;width:274;height:91;visibility:visible;" path="m0,0l100000,0l100000,99998l0,99998l0,0e" coordsize="100000,100000" fillcolor="#005EB8" strokeweight="0.00pt">
                  <v:path textboxrect="0,0,0,0"/>
                </v:shape>
                <v:shape id="shape 20" o:spid="_x0000_s20" style="position:absolute;left:6019;top:0;width:274;height:274;visibility:visible;" path="m0,0l100000,0l100000,100000l0,100000l0,0e" coordsize="100000,100000" fillcolor="#005EB8" strokeweight="0.00pt">
                  <v:path textboxrect="0,0,0,0"/>
                </v:shape>
                <v:shape id="shape 21" o:spid="_x0000_s21" style="position:absolute;left:6294;top:0;width:53141;height:274;visibility:visible;" path="m0,0l100000,0l100000,100000l0,100000l0,0e" coordsize="100000,100000" fillcolor="#005EB8" strokeweight="0.00pt">
                  <v:path textboxrect="0,0,0,0"/>
                </v:shape>
                <v:shape id="shape 22" o:spid="_x0000_s22" style="position:absolute;left:6019;top:289;width:274;height:3901;visibility:visible;" path="m0,0l100000,0l100000,100000l0,100000l0,0e" coordsize="100000,100000" fillcolor="#005EB8" strokeweight="0.00pt">
                  <v:path textboxrect="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i/>
        </w:rPr>
        <w:t>Translated as “water on the brain” hydrocephalus is a build-up of cerebrospinal fluid in the ventricular system of the brain.  In communicating hydrocephalus, the build-up is caused by compromised absorption of CSF, or by an over production of CSF. In non-</w:t>
      </w:r>
      <w:r>
        <w:rPr>
          <w:rFonts w:ascii="Arial" w:eastAsia="Arial" w:hAnsi="Arial" w:cs="Arial"/>
          <w:b/>
          <w:i/>
        </w:rPr>
        <w:t xml:space="preserve">communicating hydrocephalus the build-up is caused by a blockage in the flow of CSF. </w:t>
      </w:r>
    </w:p>
    <w:p w:rsidR="00515EE9" w:rsidRDefault="008349E5">
      <w:pPr>
        <w:numPr>
          <w:ilvl w:val="0"/>
          <w:numId w:val="1"/>
        </w:numPr>
        <w:spacing w:after="347" w:line="267" w:lineRule="auto"/>
        <w:ind w:hanging="415"/>
      </w:pPr>
      <w:r>
        <w:rPr>
          <w:rFonts w:ascii="Arial" w:eastAsia="Arial" w:hAnsi="Arial" w:cs="Arial"/>
          <w:sz w:val="20"/>
        </w:rPr>
        <w:t>Degenerative disk disease is most likely to occur in the:</w:t>
      </w:r>
    </w:p>
    <w:p w:rsidR="00515EE9" w:rsidRDefault="008349E5">
      <w:pPr>
        <w:numPr>
          <w:ilvl w:val="1"/>
          <w:numId w:val="2"/>
        </w:numPr>
        <w:spacing w:after="0" w:line="267" w:lineRule="auto"/>
        <w:ind w:hanging="360"/>
      </w:pPr>
      <w:r>
        <w:rPr>
          <w:rFonts w:ascii="Arial" w:eastAsia="Arial" w:hAnsi="Arial" w:cs="Arial"/>
          <w:sz w:val="20"/>
        </w:rPr>
        <w:t>Cervical spine</w:t>
      </w:r>
    </w:p>
    <w:p w:rsidR="00515EE9" w:rsidRDefault="008349E5">
      <w:pPr>
        <w:numPr>
          <w:ilvl w:val="1"/>
          <w:numId w:val="2"/>
        </w:numPr>
        <w:spacing w:after="0" w:line="267" w:lineRule="auto"/>
        <w:ind w:hanging="360"/>
      </w:pPr>
      <w:r>
        <w:rPr>
          <w:rFonts w:ascii="Arial" w:eastAsia="Arial" w:hAnsi="Arial" w:cs="Arial"/>
          <w:sz w:val="20"/>
        </w:rPr>
        <w:t>Thoracic spine</w:t>
      </w:r>
    </w:p>
    <w:p w:rsidR="00515EE9" w:rsidRDefault="008349E5">
      <w:pPr>
        <w:numPr>
          <w:ilvl w:val="1"/>
          <w:numId w:val="2"/>
        </w:numPr>
        <w:spacing w:after="639" w:line="265" w:lineRule="auto"/>
        <w:ind w:hanging="360"/>
      </w:pPr>
      <w:r>
        <w:rPr>
          <w:rFonts w:ascii="Arial" w:eastAsia="Arial" w:hAnsi="Arial" w:cs="Arial"/>
          <w:b/>
          <w:i/>
          <w:sz w:val="20"/>
        </w:rPr>
        <w:t>Lumbar spine</w:t>
      </w:r>
    </w:p>
    <w:p w:rsidR="00515EE9" w:rsidRDefault="008349E5">
      <w:pPr>
        <w:numPr>
          <w:ilvl w:val="0"/>
          <w:numId w:val="1"/>
        </w:numPr>
        <w:spacing w:after="138" w:line="267" w:lineRule="auto"/>
        <w:ind w:hanging="415"/>
      </w:pPr>
      <w:r>
        <w:rPr>
          <w:rFonts w:ascii="Arial" w:eastAsia="Arial" w:hAnsi="Arial" w:cs="Arial"/>
          <w:sz w:val="20"/>
        </w:rPr>
        <w:t>What does CVA stand for?  What does TIA stand for?  How are they diff</w:t>
      </w:r>
      <w:r>
        <w:rPr>
          <w:rFonts w:ascii="Arial" w:eastAsia="Arial" w:hAnsi="Arial" w:cs="Arial"/>
          <w:sz w:val="20"/>
        </w:rPr>
        <w:t>erent?</w:t>
      </w:r>
    </w:p>
    <w:p w:rsidR="00515EE9" w:rsidRDefault="008349E5">
      <w:pPr>
        <w:spacing w:after="242" w:line="249" w:lineRule="auto"/>
        <w:ind w:left="720" w:hanging="89"/>
      </w:pPr>
      <w:bookmarkStart w:id="0" w:name="_GoBack"/>
      <w:bookmarkEnd w:id="0"/>
      <w:r>
        <w:rPr>
          <w:rFonts w:ascii="Arial" w:eastAsia="Arial" w:hAnsi="Arial" w:cs="Arial"/>
          <w:sz w:val="20"/>
        </w:rPr>
        <w:lastRenderedPageBreak/>
        <w:t xml:space="preserve">  </w:t>
      </w:r>
      <w:r>
        <w:rPr>
          <w:rFonts w:ascii="Arial" w:eastAsia="Arial" w:hAnsi="Arial" w:cs="Arial"/>
          <w:b/>
          <w:i/>
        </w:rPr>
        <w:t xml:space="preserve">CVA – Cerebrovascular accident -  or “stroke”, is a condition where the blood supply to a portion of the brain has been cut off, causing a brain infarct (death of tissue). </w:t>
      </w:r>
    </w:p>
    <w:p w:rsidR="00515EE9" w:rsidRDefault="008349E5">
      <w:pPr>
        <w:spacing w:after="242" w:line="249" w:lineRule="auto"/>
        <w:ind w:left="715" w:hanging="10"/>
      </w:pPr>
      <w:r>
        <w:rPr>
          <w:rFonts w:ascii="Arial" w:eastAsia="Arial" w:hAnsi="Arial" w:cs="Arial"/>
          <w:b/>
          <w:i/>
        </w:rPr>
        <w:t xml:space="preserve">TIA – “trans-ischemic attack” is a temporary episode of neurologic dysfunction due to decreased blood </w:t>
      </w:r>
      <w:proofErr w:type="gramStart"/>
      <w:r>
        <w:rPr>
          <w:rFonts w:ascii="Arial" w:eastAsia="Arial" w:hAnsi="Arial" w:cs="Arial"/>
          <w:b/>
          <w:i/>
        </w:rPr>
        <w:t>flow, that</w:t>
      </w:r>
      <w:proofErr w:type="gramEnd"/>
      <w:r>
        <w:rPr>
          <w:rFonts w:ascii="Arial" w:eastAsia="Arial" w:hAnsi="Arial" w:cs="Arial"/>
          <w:b/>
          <w:i/>
        </w:rPr>
        <w:t xml:space="preserve"> typically resolves within 24 hours.    </w:t>
      </w:r>
    </w:p>
    <w:p w:rsidR="00515EE9" w:rsidRDefault="008349E5">
      <w:pPr>
        <w:numPr>
          <w:ilvl w:val="0"/>
          <w:numId w:val="1"/>
        </w:numPr>
        <w:spacing w:after="138" w:line="267" w:lineRule="auto"/>
        <w:ind w:hanging="415"/>
      </w:pPr>
      <w:r>
        <w:rPr>
          <w:rFonts w:ascii="Arial" w:eastAsia="Arial" w:hAnsi="Arial" w:cs="Arial"/>
          <w:sz w:val="20"/>
        </w:rPr>
        <w:t>How is a hemorrhagic stroke different from an ischemic stroke?</w:t>
      </w:r>
    </w:p>
    <w:p w:rsidR="00515EE9" w:rsidRDefault="008349E5">
      <w:pPr>
        <w:spacing w:after="982" w:line="239" w:lineRule="auto"/>
        <w:ind w:left="720"/>
        <w:jc w:val="both"/>
      </w:pPr>
      <w:r>
        <w:rPr>
          <w:rFonts w:ascii="Arial" w:eastAsia="Arial" w:hAnsi="Arial" w:cs="Arial"/>
          <w:b/>
          <w:i/>
        </w:rPr>
        <w:t>A hemorrhagic stroke occurs when a blood</w:t>
      </w:r>
      <w:r>
        <w:rPr>
          <w:rFonts w:ascii="Arial" w:eastAsia="Arial" w:hAnsi="Arial" w:cs="Arial"/>
          <w:b/>
          <w:i/>
        </w:rPr>
        <w:t xml:space="preserve"> vessel in the brain bursts, whereas an ischemic stroke occurs when a blood vessel in the brain becomes occluded by, for example, an embolism or atherosclerosis. </w:t>
      </w:r>
    </w:p>
    <w:p w:rsidR="00515EE9" w:rsidRDefault="008349E5">
      <w:pPr>
        <w:numPr>
          <w:ilvl w:val="0"/>
          <w:numId w:val="1"/>
        </w:numPr>
        <w:spacing w:after="402" w:line="267" w:lineRule="auto"/>
        <w:ind w:hanging="415"/>
      </w:pPr>
      <w:r>
        <w:rPr>
          <w:rFonts w:ascii="Arial" w:eastAsia="Arial" w:hAnsi="Arial" w:cs="Arial"/>
          <w:sz w:val="20"/>
        </w:rPr>
        <w:t>Why is “time of the essence” when recognizing and treating a stroke victim?</w:t>
      </w:r>
    </w:p>
    <w:p w:rsidR="00515EE9" w:rsidRDefault="008349E5">
      <w:pPr>
        <w:spacing w:after="580" w:line="249" w:lineRule="auto"/>
        <w:ind w:left="715" w:hanging="10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4" name="Group 1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35" name="Rectangle 35"/>
                        <wps:cNvSpPr/>
                        <wps:spPr bwMode="auto">
                          <a:xfrm>
                            <a:off x="477012" y="54111"/>
                            <a:ext cx="93564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 bwMode="auto">
                          <a:xfrm>
                            <a:off x="547089" y="54111"/>
                            <a:ext cx="46741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 bwMode="auto">
                          <a:xfrm>
                            <a:off x="684200" y="90791"/>
                            <a:ext cx="41065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MRT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 bwMode="auto">
                          <a:xfrm>
                            <a:off x="994347" y="54111"/>
                            <a:ext cx="3779814" cy="234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Program – ANPH 202: Anatomy and Pathology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 bwMode="auto">
                          <a:xfrm>
                            <a:off x="684200" y="243094"/>
                            <a:ext cx="170392" cy="223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8349E5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 bwMode="auto"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15EE9" w:rsidRDefault="00515EE9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Freeform 41"/>
                        <wps:cNvSpPr/>
                        <wps:spPr bwMode="auto"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 extrusionOk="0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Freeform 42"/>
                        <wps:cNvSpPr/>
                        <wps:spPr bwMode="auto"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Freeform 43"/>
                        <wps:cNvSpPr/>
                        <wps:spPr bwMode="auto"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Freeform 44"/>
                        <wps:cNvSpPr/>
                        <wps:spPr bwMode="auto"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 extrusionOk="0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Freeform 45"/>
                        <wps:cNvSpPr/>
                        <wps:spPr bwMode="auto"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33" o:spid="_x0000_s0000" style="position:absolute;z-index:251661312;o:allowoverlap:true;o:allowincell:true;mso-position-horizontal-relative:page;margin-left:72.00pt;mso-position-horizontal:absolute;mso-position-vertical-relative:page;margin-top:708.48pt;mso-position-vertical:absolute;width:468.00pt;height:33.00pt;mso-wrap-distance-left:9.00pt;mso-wrap-distance-top:0.00pt;mso-wrap-distance-right:9.00pt;mso-wrap-distance-bottom:0.00pt;" coordorigin="0,0" coordsize="59436,4191">
                <v:shape id="shape 34" o:spid="_x0000_s34" o:spt="1" type="#_x0000_t1" style="position:absolute;left:4770;top:541;width:935;height:2345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2</w:t>
                        </w:r>
                        <w:r/>
                      </w:p>
                    </w:txbxContent>
                  </v:textbox>
                </v:shape>
                <v:shape id="shape 35" o:spid="_x0000_s35" o:spt="1" type="#_x0000_t1" style="position:absolute;left:5470;top:541;width:467;height:234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6" o:spid="_x0000_s36" o:spt="1" type="#_x0000_t1" style="position:absolute;left:6842;top:907;width:4106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MRT </w:t>
                        </w:r>
                        <w:r/>
                      </w:p>
                    </w:txbxContent>
                  </v:textbox>
                </v:shape>
                <v:shape id="shape 37" o:spid="_x0000_s37" o:spt="1" type="#_x0000_t1" style="position:absolute;left:9943;top:541;width:37798;height:234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Program – ANPH 202: Anatomy and Pathology </w:t>
                        </w:r>
                        <w:r/>
                      </w:p>
                    </w:txbxContent>
                  </v:textbox>
                </v:shape>
                <v:shape id="shape 38" o:spid="_x0000_s38" o:spt="1" type="#_x0000_t1" style="position:absolute;left:6842;top:2430;width:1703;height:223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9" o:spid="_x0000_s39" o:spt="1" type="#_x0000_t1" style="position:absolute;left:8122;top:2782;width:13373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xbxContent>
                  </v:textbox>
                </v:shape>
                <v:shape id="shape 40" o:spid="_x0000_s40" style="position:absolute;left:0;top:0;width:6019;height:274;visibility:visible;" path="m0,0l100000,0l100000,100000l0,100000l0,0e" coordsize="100000,100000" fillcolor="#005EB8" strokeweight="0.00pt">
                  <v:path textboxrect="0,0,0,0"/>
                </v:shape>
                <v:shape id="shape 41" o:spid="_x0000_s41" style="position:absolute;left:6019;top:274;width:274;height:91;visibility:visible;" path="m0,0l100000,0l100000,99998l0,99998l0,0e" coordsize="100000,100000" fillcolor="#005EB8" strokeweight="0.00pt">
                  <v:path textboxrect="0,0,0,0"/>
                </v:shape>
                <v:shape id="shape 42" o:spid="_x0000_s42" style="position:absolute;left:6019;top:0;width:274;height:274;visibility:visible;" path="m0,0l100000,0l100000,100000l0,100000l0,0e" coordsize="100000,100000" fillcolor="#005EB8" strokeweight="0.00pt">
                  <v:path textboxrect="0,0,0,0"/>
                </v:shape>
                <v:shape id="shape 43" o:spid="_x0000_s43" style="position:absolute;left:6294;top:0;width:53141;height:274;visibility:visible;" path="m0,0l100000,0l100000,100000l0,100000l0,0e" coordsize="100000,100000" fillcolor="#005EB8" strokeweight="0.00pt">
                  <v:path textboxrect="0,0,0,0"/>
                </v:shape>
                <v:shape id="shape 44" o:spid="_x0000_s44" style="position:absolute;left:6019;top:289;width:274;height:3901;visibility:visible;" path="m0,0l100000,0l100000,100000l0,100000l0,0e" coordsize="100000,100000" fillcolor="#005EB8" strokeweight="0.00pt">
                  <v:path textboxrect="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i/>
        </w:rPr>
        <w:t xml:space="preserve">Thrombolytic (clot busting) drugs are more affective if they are delivered within 3 hours of the onset of symptoms. </w:t>
      </w:r>
    </w:p>
    <w:p w:rsidR="00515EE9" w:rsidRDefault="008349E5">
      <w:pPr>
        <w:numPr>
          <w:ilvl w:val="0"/>
          <w:numId w:val="1"/>
        </w:numPr>
        <w:spacing w:after="498" w:line="267" w:lineRule="auto"/>
        <w:ind w:hanging="415"/>
      </w:pPr>
      <w:r>
        <w:rPr>
          <w:rFonts w:ascii="Arial" w:eastAsia="Arial" w:hAnsi="Arial" w:cs="Arial"/>
          <w:sz w:val="20"/>
        </w:rPr>
        <w:t xml:space="preserve">Will a patient with a serious subdural hematoma potentially develop communicating or </w:t>
      </w:r>
      <w:proofErr w:type="spellStart"/>
      <w:r>
        <w:rPr>
          <w:rFonts w:ascii="Arial" w:eastAsia="Arial" w:hAnsi="Arial" w:cs="Arial"/>
          <w:sz w:val="20"/>
        </w:rPr>
        <w:t>non</w:t>
      </w:r>
      <w:r>
        <w:rPr>
          <w:rFonts w:ascii="Arial" w:eastAsia="Arial" w:hAnsi="Arial" w:cs="Arial"/>
          <w:sz w:val="20"/>
        </w:rPr>
        <w:t>communicating</w:t>
      </w:r>
      <w:proofErr w:type="spellEnd"/>
      <w:r>
        <w:rPr>
          <w:rFonts w:ascii="Arial" w:eastAsia="Arial" w:hAnsi="Arial" w:cs="Arial"/>
          <w:sz w:val="20"/>
        </w:rPr>
        <w:t xml:space="preserve"> hydrocephalus? </w:t>
      </w:r>
      <w:r>
        <w:rPr>
          <w:rFonts w:ascii="Arial" w:eastAsia="Arial" w:hAnsi="Arial" w:cs="Arial"/>
          <w:b/>
          <w:i/>
          <w:sz w:val="20"/>
        </w:rPr>
        <w:t>Non-communicating</w:t>
      </w:r>
    </w:p>
    <w:p w:rsidR="00515EE9" w:rsidRDefault="008349E5">
      <w:pPr>
        <w:numPr>
          <w:ilvl w:val="0"/>
          <w:numId w:val="1"/>
        </w:numPr>
        <w:spacing w:after="138" w:line="267" w:lineRule="auto"/>
        <w:ind w:hanging="415"/>
      </w:pPr>
      <w:r>
        <w:rPr>
          <w:rFonts w:ascii="Arial" w:eastAsia="Arial" w:hAnsi="Arial" w:cs="Arial"/>
          <w:sz w:val="20"/>
        </w:rPr>
        <w:t>List three serious complications of head trauma.</w:t>
      </w:r>
    </w:p>
    <w:p w:rsidR="00515EE9" w:rsidRDefault="008349E5">
      <w:pPr>
        <w:spacing w:after="311" w:line="249" w:lineRule="auto"/>
        <w:ind w:left="715" w:hanging="10"/>
      </w:pPr>
      <w:r>
        <w:rPr>
          <w:rFonts w:ascii="Arial" w:eastAsia="Arial" w:hAnsi="Arial" w:cs="Arial"/>
          <w:b/>
          <w:i/>
        </w:rPr>
        <w:t xml:space="preserve">Infection, increased intracranial pressure, coma, brain displacement or hernia </w:t>
      </w:r>
    </w:p>
    <w:p w:rsidR="00515EE9" w:rsidRDefault="008349E5">
      <w:pPr>
        <w:numPr>
          <w:ilvl w:val="0"/>
          <w:numId w:val="1"/>
        </w:numPr>
        <w:spacing w:after="156" w:line="265" w:lineRule="auto"/>
        <w:ind w:hanging="415"/>
      </w:pPr>
      <w:r>
        <w:rPr>
          <w:rFonts w:ascii="Arial" w:eastAsia="Arial" w:hAnsi="Arial" w:cs="Arial"/>
          <w:sz w:val="20"/>
        </w:rPr>
        <w:t xml:space="preserve">Can an infiltrating tumor cause compression? </w:t>
      </w:r>
      <w:r>
        <w:rPr>
          <w:rFonts w:ascii="Arial" w:eastAsia="Arial" w:hAnsi="Arial" w:cs="Arial"/>
          <w:b/>
          <w:i/>
          <w:sz w:val="20"/>
        </w:rPr>
        <w:t>No, as a infiltrating tumor replaces normal tissue</w:t>
      </w:r>
    </w:p>
    <w:sectPr w:rsidR="00515EE9">
      <w:headerReference w:type="default" r:id="rId10"/>
      <w:pgSz w:w="12240" w:h="15840"/>
      <w:pgMar w:top="1723" w:right="1518" w:bottom="275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E5" w:rsidRDefault="008349E5">
      <w:pPr>
        <w:spacing w:after="0" w:line="240" w:lineRule="auto"/>
      </w:pPr>
      <w:r>
        <w:separator/>
      </w:r>
    </w:p>
  </w:endnote>
  <w:endnote w:type="continuationSeparator" w:id="0">
    <w:p w:rsidR="008349E5" w:rsidRDefault="0083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E5" w:rsidRDefault="008349E5">
      <w:pPr>
        <w:spacing w:after="0" w:line="240" w:lineRule="auto"/>
      </w:pPr>
      <w:r>
        <w:separator/>
      </w:r>
    </w:p>
  </w:footnote>
  <w:footnote w:type="continuationSeparator" w:id="0">
    <w:p w:rsidR="008349E5" w:rsidRDefault="00834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274" w:rsidRDefault="00B90274">
    <w:pPr>
      <w:pStyle w:val="Header"/>
    </w:pPr>
    <w:r w:rsidRPr="00B90274">
      <w:rPr>
        <w:noProof/>
        <w:lang w:val="en-US" w:eastAsia="en-US"/>
      </w:rPr>
      <w:drawing>
        <wp:inline distT="0" distB="0" distL="0" distR="0">
          <wp:extent cx="733425" cy="785813"/>
          <wp:effectExtent l="0" t="0" r="0" b="0"/>
          <wp:docPr id="46" name="Picture 46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209" cy="793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D1306"/>
    <w:multiLevelType w:val="multilevel"/>
    <w:tmpl w:val="FE8620D0"/>
    <w:lvl w:ilvl="0">
      <w:start w:val="1"/>
      <w:numFmt w:val="decimal"/>
      <w:lvlText w:val="%1."/>
      <w:lvlJc w:val="left"/>
      <w:pPr>
        <w:ind w:left="49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2"/>
      <w:numFmt w:val="upperLetter"/>
      <w:lvlText w:val="%2)"/>
      <w:lvlJc w:val="left"/>
      <w:pPr>
        <w:ind w:left="106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/>
        <w:iCs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5CA85AA1"/>
    <w:multiLevelType w:val="multilevel"/>
    <w:tmpl w:val="532E918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C27301"/>
    <w:multiLevelType w:val="multilevel"/>
    <w:tmpl w:val="81DAEF3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E9"/>
    <w:rsid w:val="00515EE9"/>
    <w:rsid w:val="008349E5"/>
    <w:rsid w:val="00B90274"/>
    <w:rsid w:val="00D8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4EB3E2"/>
  <w15:docId w15:val="{18B2DB9E-3EC6-4EC0-ABDA-9825BA32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C692AB-C41E-435B-87B5-D894B3576B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373333-3F5E-4CE5-947E-DEBF8A93FC9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6510689-24DB-4A24-AC17-9EA1EE94E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Fayyaz</cp:lastModifiedBy>
  <cp:revision>7</cp:revision>
  <dcterms:created xsi:type="dcterms:W3CDTF">2024-09-02T21:01:00Z</dcterms:created>
  <dcterms:modified xsi:type="dcterms:W3CDTF">2025-06-02T19:52:00Z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