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b/>
          <w:bCs/>
          <w:sz w:val="24"/>
          <w:szCs w:val="24"/>
        </w:rPr>
        <w:t xml:space="preserve">                                                                                                                                                                                                                               </w:t>
      </w:r>
      <w:r>
        <w:rPr>
          <w:rFonts w:ascii="Futura PT Demi" w:hAnsi="Futura PT Demi"/>
          <w:b/>
          <w:bCs/>
          <w:sz w:val="28"/>
          <w:szCs w:val="28"/>
        </w:rPr>
        <w:t xml:space="preserve">Central Venous Catheters (CVCs) or Central Lines </w:t>
      </w:r>
      <w:r>
        <w:rPr>
          <w:rFonts w:ascii="Futura PT Demi" w:hAnsi="Futura PT Demi" w:cs="Arial"/>
          <w:b/>
          <w:bCs/>
          <w:sz w:val="28"/>
          <w:szCs w:val="28"/>
        </w:rPr>
      </w:r>
    </w:p>
    <w:p>
      <w:pPr>
        <w:pBdr/>
        <w:spacing/>
        <w:ind/>
        <w:jc w:val="center"/>
        <w:rPr>
          <w:b/>
        </w:rPr>
      </w:pPr>
      <w:r>
        <w:rPr>
          <w:b/>
        </w:rPr>
      </w:r>
      <w:r>
        <w:rPr>
          <w:b/>
        </w:rPr>
      </w:r>
    </w:p>
    <w:p>
      <w:pPr>
        <w:pBdr/>
        <w:spacing/>
        <w:ind/>
        <w:rPr>
          <w:rFonts w:ascii="Futura PT Book" w:hAnsi="Futura PT Book"/>
          <w:sz w:val="24"/>
          <w:szCs w:val="24"/>
        </w:rPr>
      </w:pPr>
      <w:r>
        <w:rPr>
          <w:rFonts w:ascii="Futura PT Book" w:hAnsi="Futura PT Book"/>
          <w:b/>
          <w:sz w:val="24"/>
          <w:szCs w:val="24"/>
        </w:rPr>
        <w:t xml:space="preserve">Central Venous Catheters</w:t>
      </w:r>
      <w:r>
        <w:rPr>
          <w:rFonts w:ascii="Futura PT Book" w:hAnsi="Futura PT Book"/>
          <w:sz w:val="24"/>
          <w:szCs w:val="24"/>
        </w:rPr>
        <w:t xml:space="preserve"> (CVCs), also called Central Lines, are tubes that are surgically inserted into a vein in the central circulation system (usually the superior vena cava).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All CVCs are catheters that provide access to the circulatory system on a </w:t>
      </w:r>
      <w:r>
        <w:rPr>
          <w:rFonts w:ascii="Futura PT Book" w:hAnsi="Futura PT Book"/>
          <w:b/>
          <w:sz w:val="24"/>
          <w:szCs w:val="24"/>
        </w:rPr>
        <w:t xml:space="preserve">repeated </w:t>
      </w:r>
      <w:r>
        <w:rPr>
          <w:rFonts w:ascii="Futura PT Book" w:hAnsi="Futura PT Book"/>
          <w:sz w:val="24"/>
          <w:szCs w:val="24"/>
        </w:rPr>
        <w:t xml:space="preserve">or </w:t>
      </w:r>
      <w:r>
        <w:rPr>
          <w:rFonts w:ascii="Futura PT Book" w:hAnsi="Futura PT Book"/>
          <w:b/>
          <w:sz w:val="24"/>
          <w:szCs w:val="24"/>
        </w:rPr>
        <w:t xml:space="preserve">continuous</w:t>
      </w:r>
      <w:r>
        <w:rPr>
          <w:rFonts w:ascii="Futura PT Book" w:hAnsi="Futura PT Book"/>
          <w:sz w:val="24"/>
          <w:szCs w:val="24"/>
        </w:rPr>
        <w:t xml:space="preserve"> basis.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Function/Purpose of CVCs</w:t>
      </w:r>
      <w:r>
        <w:rPr>
          <w:rFonts w:ascii="Futura PT Book" w:hAnsi="Futura PT Book"/>
          <w:b/>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Administer chemotherapy or other long-term drug </w:t>
      </w:r>
      <w:r>
        <w:rPr>
          <w:rFonts w:ascii="Futura PT Book" w:hAnsi="Futura PT Book"/>
          <w:sz w:val="24"/>
          <w:szCs w:val="24"/>
        </w:rPr>
        <w:t xml:space="preserve">therapy</w:t>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Provide total parenteral nutrition (bypassing the alimentary canal) </w:t>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Dialysis</w:t>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Blood transfusion</w:t>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Facilitate the drawing of blood for lab </w:t>
      </w:r>
      <w:r>
        <w:rPr>
          <w:rFonts w:ascii="Futura PT Book" w:hAnsi="Futura PT Book"/>
          <w:sz w:val="24"/>
          <w:szCs w:val="24"/>
        </w:rPr>
        <w:t xml:space="preserve">analysis</w:t>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Allow venous pressure </w:t>
      </w:r>
      <w:r>
        <w:rPr>
          <w:rFonts w:ascii="Futura PT Book" w:hAnsi="Futura PT Book"/>
          <w:sz w:val="24"/>
          <w:szCs w:val="24"/>
        </w:rPr>
        <w:t xml:space="preserve">monitoring</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Classification of CVCs</w:t>
      </w:r>
      <w:r>
        <w:rPr>
          <w:rFonts w:ascii="Futura PT Book" w:hAnsi="Futura PT Book"/>
          <w:b/>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Short- or long-term, non-tunneled external catheters (e.g., PICC line)</w:t>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Long-term, tunneled external catheters (e.g., Hickman, Groshong, </w:t>
      </w:r>
      <w:r>
        <w:rPr>
          <w:rFonts w:ascii="Futura PT Book" w:hAnsi="Futura PT Book"/>
          <w:sz w:val="24"/>
          <w:szCs w:val="24"/>
        </w:rPr>
        <w:t xml:space="preserve">Raaf</w:t>
      </w:r>
      <w:r>
        <w:rPr>
          <w:rFonts w:ascii="Futura PT Book" w:hAnsi="Futura PT Book"/>
          <w:sz w:val="24"/>
          <w:szCs w:val="24"/>
        </w:rPr>
        <w:t xml:space="preserve">)</w:t>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Long-term, implanted infusion ports (e.g., Port-a-</w:t>
      </w:r>
      <w:r>
        <w:rPr>
          <w:rFonts w:ascii="Futura PT Book" w:hAnsi="Futura PT Book"/>
          <w:sz w:val="24"/>
          <w:szCs w:val="24"/>
        </w:rPr>
        <w:t xml:space="preserve">cath</w:t>
      </w:r>
      <w:r>
        <w:rPr>
          <w:rFonts w:ascii="Futura PT Book" w:hAnsi="Futura PT Book"/>
          <w:sz w:val="24"/>
          <w:szCs w:val="24"/>
        </w:rPr>
        <w:t xml:space="preserv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 </w:t>
      </w:r>
      <w:r>
        <w:rPr>
          <w:rFonts w:ascii="Futura PT Book" w:hAnsi="Futura PT Book"/>
          <w:b/>
          <w:sz w:val="24"/>
          <w:szCs w:val="24"/>
        </w:rPr>
        <w:t xml:space="preserve">tunneled</w:t>
      </w:r>
      <w:r>
        <w:rPr>
          <w:rFonts w:ascii="Futura PT Book" w:hAnsi="Futura PT Book"/>
          <w:sz w:val="24"/>
          <w:szCs w:val="24"/>
        </w:rPr>
        <w:t xml:space="preserve"> central line or CVC is a long-term intravenous device that is inserted into you</w:t>
      </w:r>
      <w:r>
        <w:rPr>
          <w:rFonts w:ascii="Futura PT Book" w:hAnsi="Futura PT Book"/>
          <w:sz w:val="24"/>
          <w:szCs w:val="24"/>
        </w:rPr>
        <w:t xml:space="preserve">r chest. It can stay in place throughout treatment for cancer and other illnesses and allows your healthcare team to administer medications and blood products or to draw samples from your blood without having to regularly poke your veins. The tip of a CVC </w:t>
      </w:r>
      <w:r>
        <w:rPr>
          <w:rFonts w:ascii="Futura PT Book" w:hAnsi="Futura PT Book"/>
          <w:sz w:val="24"/>
          <w:szCs w:val="24"/>
        </w:rPr>
        <w:t xml:space="preserve">is located in</w:t>
      </w:r>
      <w:r>
        <w:rPr>
          <w:rFonts w:ascii="Futura PT Book" w:hAnsi="Futura PT Book"/>
          <w:sz w:val="24"/>
          <w:szCs w:val="24"/>
        </w:rPr>
        <w:t xml:space="preserve"> the large vein near the heart (vena cava).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Tunneled CVCs are different from other types of central lin</w:t>
      </w:r>
      <w:r>
        <w:rPr>
          <w:rFonts w:ascii="Futura PT Book" w:hAnsi="Futura PT Book"/>
          <w:sz w:val="24"/>
          <w:szCs w:val="24"/>
        </w:rPr>
        <w:t xml:space="preserve">es because they are inserted into an incision in the chest, tunneled through the fatty tissue, then threaded into the vein in your neck and advanced to your vena cava. This "tunnel" under the skin helps to hold the catheter in place and prevent infection.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Common characteristics</w:t>
      </w:r>
      <w:r>
        <w:rPr>
          <w:rFonts w:ascii="Futura PT Book" w:hAnsi="Futura PT Book"/>
          <w:b/>
          <w:sz w:val="24"/>
          <w:szCs w:val="24"/>
        </w:rPr>
      </w:r>
    </w:p>
    <w:p>
      <w:pPr>
        <w:pStyle w:val="803"/>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Constructed of special material that provides the needed </w:t>
      </w:r>
      <w:r>
        <w:rPr>
          <w:rFonts w:ascii="Futura PT Book" w:hAnsi="Futura PT Book"/>
          <w:b/>
          <w:sz w:val="24"/>
          <w:szCs w:val="24"/>
        </w:rPr>
        <w:t xml:space="preserve">rigidity </w:t>
      </w:r>
      <w:r>
        <w:rPr>
          <w:rFonts w:ascii="Futura PT Book" w:hAnsi="Futura PT Book"/>
          <w:sz w:val="24"/>
          <w:szCs w:val="24"/>
        </w:rPr>
        <w:t xml:space="preserve">for placement and lowers the incident of blood clot formation (which is a </w:t>
      </w:r>
      <w:r>
        <w:rPr>
          <w:rFonts w:ascii="Futura PT Book" w:hAnsi="Futura PT Book"/>
          <w:b/>
          <w:sz w:val="24"/>
          <w:szCs w:val="24"/>
        </w:rPr>
        <w:t xml:space="preserve">complication</w:t>
      </w:r>
      <w:r>
        <w:rPr>
          <w:rFonts w:ascii="Futura PT Book" w:hAnsi="Futura PT Book"/>
          <w:sz w:val="24"/>
          <w:szCs w:val="24"/>
        </w:rPr>
        <w:t xml:space="preserve"> of CVCs). </w:t>
      </w:r>
      <w:r>
        <w:rPr>
          <w:rFonts w:ascii="Futura PT Book" w:hAnsi="Futura PT Book"/>
          <w:sz w:val="24"/>
          <w:szCs w:val="24"/>
        </w:rPr>
      </w:r>
    </w:p>
    <w:p>
      <w:pPr>
        <w:pStyle w:val="803"/>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Radiopaque strips or radiographic distal ends allow radiographic verification of CVC placement.</w:t>
      </w:r>
      <w:r>
        <w:rPr>
          <w:rFonts w:ascii="Futura PT Book" w:hAnsi="Futura PT Book"/>
          <w:sz w:val="24"/>
          <w:szCs w:val="24"/>
        </w:rPr>
      </w:r>
    </w:p>
    <w:p>
      <w:pPr>
        <w:pStyle w:val="803"/>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Can be either single or double lumen.</w:t>
      </w:r>
      <w:r>
        <w:rPr>
          <w:rFonts w:ascii="Futura PT Book" w:hAnsi="Futura PT Book"/>
          <w:sz w:val="24"/>
          <w:szCs w:val="24"/>
        </w:rPr>
      </w:r>
    </w:p>
    <w:p>
      <w:pPr>
        <w:pStyle w:val="803"/>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The distal tips of all CVCs rest in the vena cava near the right atrium of the heart.</w:t>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b/>
          <w:sz w:val="24"/>
          <w:szCs w:val="24"/>
        </w:rPr>
        <w:t xml:space="preserve">Location of non-tunneled CVCs </w:t>
      </w:r>
      <w:r>
        <w:rPr>
          <w:rFonts w:ascii="Futura PT Book" w:hAnsi="Futura PT Book"/>
          <w:sz w:val="24"/>
          <w:szCs w:val="24"/>
        </w:rPr>
      </w:r>
    </w:p>
    <w:p>
      <w:pPr>
        <w:pStyle w:val="803"/>
        <w:numPr>
          <w:ilvl w:val="0"/>
          <w:numId w:val="30"/>
        </w:numPr>
        <w:pBdr/>
        <w:spacing w:after="0" w:line="276" w:lineRule="auto"/>
        <w:ind/>
        <w:rPr>
          <w:rFonts w:ascii="Futura PT Book" w:hAnsi="Futura PT Book"/>
          <w:i/>
          <w:sz w:val="24"/>
          <w:szCs w:val="24"/>
          <w:u w:val="single"/>
        </w:rPr>
      </w:pPr>
      <w:r>
        <w:rPr>
          <w:rFonts w:ascii="Futura PT Book" w:hAnsi="Futura PT Book"/>
          <w:sz w:val="24"/>
          <w:szCs w:val="24"/>
        </w:rPr>
        <w:t xml:space="preserve">Subclavian vein</w:t>
      </w:r>
      <w:r>
        <w:rPr>
          <w:rFonts w:ascii="Futura PT Book" w:hAnsi="Futura PT Book"/>
          <w:i/>
          <w:sz w:val="24"/>
          <w:szCs w:val="24"/>
          <w:u w:val="single"/>
        </w:rPr>
      </w:r>
    </w:p>
    <w:p>
      <w:pPr>
        <w:pStyle w:val="803"/>
        <w:numPr>
          <w:ilvl w:val="0"/>
          <w:numId w:val="29"/>
        </w:numPr>
        <w:pBdr/>
        <w:spacing w:after="0" w:line="276" w:lineRule="auto"/>
        <w:ind/>
        <w:rPr>
          <w:rFonts w:ascii="Futura PT Book" w:hAnsi="Futura PT Book"/>
          <w:i/>
          <w:sz w:val="24"/>
          <w:szCs w:val="24"/>
          <w:u w:val="single"/>
        </w:rPr>
      </w:pPr>
      <w:r>
        <w:rPr>
          <w:rFonts w:ascii="Futura PT Book" w:hAnsi="Futura PT Book"/>
          <w:sz w:val="24"/>
          <w:szCs w:val="24"/>
        </w:rPr>
        <w:t xml:space="preserve">Internal/external jugular vein</w:t>
      </w:r>
      <w:r>
        <w:rPr>
          <w:rFonts w:ascii="Futura PT Book" w:hAnsi="Futura PT Book"/>
          <w:i/>
          <w:sz w:val="24"/>
          <w:szCs w:val="24"/>
          <w:u w:val="single"/>
        </w:rPr>
      </w:r>
    </w:p>
    <w:p>
      <w:pPr>
        <w:pStyle w:val="803"/>
        <w:numPr>
          <w:ilvl w:val="0"/>
          <w:numId w:val="29"/>
        </w:numPr>
        <w:pBdr/>
        <w:spacing w:after="0" w:line="276" w:lineRule="auto"/>
        <w:ind/>
        <w:rPr>
          <w:rFonts w:ascii="Futura PT Book" w:hAnsi="Futura PT Book"/>
          <w:i/>
          <w:sz w:val="24"/>
          <w:szCs w:val="24"/>
          <w:u w:val="single"/>
        </w:rPr>
      </w:pPr>
      <w:r>
        <w:rPr>
          <w:rFonts w:ascii="Futura PT Book" w:hAnsi="Futura PT Book"/>
          <w:sz w:val="24"/>
          <w:szCs w:val="24"/>
        </w:rPr>
        <w:t xml:space="preserve">Femoral vein</w:t>
      </w:r>
      <w:r>
        <w:rPr>
          <w:rFonts w:ascii="Futura PT Book" w:hAnsi="Futura PT Book"/>
          <w:i/>
          <w:sz w:val="24"/>
          <w:szCs w:val="24"/>
          <w:u w:val="single"/>
        </w:rPr>
      </w:r>
    </w:p>
    <w:p>
      <w:pPr>
        <w:pStyle w:val="803"/>
        <w:numPr>
          <w:ilvl w:val="0"/>
          <w:numId w:val="29"/>
        </w:numPr>
        <w:pBdr/>
        <w:spacing w:after="0" w:line="276" w:lineRule="auto"/>
        <w:ind/>
        <w:rPr>
          <w:rFonts w:ascii="Futura PT Book" w:hAnsi="Futura PT Book"/>
          <w:sz w:val="24"/>
          <w:szCs w:val="24"/>
        </w:rPr>
      </w:pPr>
      <w:r>
        <w:rPr>
          <w:rFonts w:ascii="Futura PT Book" w:hAnsi="Futura PT Book"/>
          <w:sz w:val="24"/>
          <w:szCs w:val="24"/>
        </w:rPr>
        <w:t xml:space="preserve">Basilic or cephalic veins in arm (PICC lines)</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Complications of CVCs</w:t>
      </w:r>
      <w:r>
        <w:rPr>
          <w:rFonts w:ascii="Futura PT Book" w:hAnsi="Futura PT Book"/>
          <w:b/>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Clotting</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Local inflammation or phlebitis</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Systemic infraction</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Venous thrombosis</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Air embolus</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Extravasation of medication</w:t>
      </w:r>
      <w:r>
        <w:rPr>
          <w:rFonts w:ascii="Futura PT Book" w:hAnsi="Futura PT Book"/>
          <w:sz w:val="24"/>
          <w:szCs w:val="24"/>
        </w:rPr>
      </w:r>
    </w:p>
    <w:p>
      <w:pPr>
        <w:pStyle w:val="803"/>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Migration of catheter (moves from intended location)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Incorrect use of these lines can harm the patient. </w:t>
      </w:r>
      <w:r>
        <w:rPr>
          <w:rFonts w:ascii="Futura PT Book" w:hAnsi="Futura PT Book"/>
          <w:b/>
          <w:sz w:val="24"/>
          <w:szCs w:val="24"/>
        </w:rPr>
        <w:t xml:space="preserve">ONLY </w:t>
      </w:r>
      <w:r>
        <w:rPr>
          <w:rFonts w:ascii="Futura PT Book" w:hAnsi="Futura PT Book"/>
          <w:sz w:val="24"/>
          <w:szCs w:val="24"/>
        </w:rPr>
        <w:t xml:space="preserve">specially trained personnel are permitted to use or care for them. Nurses take </w:t>
      </w:r>
      <w:r>
        <w:rPr>
          <w:rFonts w:ascii="Futura PT Book" w:hAnsi="Futura PT Book"/>
          <w:b/>
          <w:sz w:val="24"/>
          <w:szCs w:val="24"/>
        </w:rPr>
        <w:t xml:space="preserve">additional training</w:t>
      </w:r>
      <w:r>
        <w:rPr>
          <w:rFonts w:ascii="Futura PT Book" w:hAnsi="Futura PT Book"/>
          <w:sz w:val="24"/>
          <w:szCs w:val="24"/>
        </w:rPr>
        <w:t xml:space="preserve"> to handle CVCs.</w:t>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Bdr/>
        <w:spacing/>
        <w:ind/>
        <w:rPr>
          <w:rFonts w:ascii="Futura PT Book" w:hAnsi="Futura PT Book"/>
          <w:b/>
          <w:sz w:val="24"/>
          <w:szCs w:val="24"/>
        </w:rPr>
      </w:pPr>
      <w:r>
        <w:rPr>
          <w:rFonts w:ascii="Futura PT Book" w:hAnsi="Futura PT Book"/>
          <w:b/>
          <w:sz w:val="24"/>
          <w:szCs w:val="24"/>
        </w:rPr>
        <w:t xml:space="preserve">Proprietary names of CVC and their characteristics</w:t>
      </w:r>
      <w:r>
        <w:rPr>
          <w:rFonts w:ascii="Futura PT Book" w:hAnsi="Futura PT Book"/>
          <w:b/>
          <w:sz w:val="24"/>
          <w:szCs w:val="24"/>
        </w:rPr>
      </w:r>
    </w:p>
    <w:p>
      <w:pPr>
        <w:pStyle w:val="803"/>
        <w:numPr>
          <w:ilvl w:val="0"/>
          <w:numId w:val="32"/>
        </w:numPr>
        <w:pBdr/>
        <w:spacing w:after="0" w:line="276" w:lineRule="auto"/>
        <w:ind/>
        <w:rPr>
          <w:rFonts w:ascii="Futura PT Book" w:hAnsi="Futura PT Book"/>
          <w:sz w:val="24"/>
          <w:szCs w:val="24"/>
        </w:rPr>
      </w:pPr>
      <w:r>
        <w:rPr>
          <w:rFonts w:ascii="Futura PT Book" w:hAnsi="Futura PT Book"/>
          <w:sz w:val="24"/>
          <w:szCs w:val="24"/>
        </w:rPr>
        <w:t xml:space="preserve">Hickman – long-term use, used for administering medication, withdrawing blood and measuring central venous </w:t>
      </w:r>
      <w:r>
        <w:rPr>
          <w:rFonts w:ascii="Futura PT Book" w:hAnsi="Futura PT Book"/>
          <w:sz w:val="24"/>
          <w:szCs w:val="24"/>
        </w:rPr>
        <w:t xml:space="preserve">pressure</w:t>
      </w:r>
      <w:r>
        <w:rPr>
          <w:rFonts w:ascii="Futura PT Book" w:hAnsi="Futura PT Book"/>
          <w:sz w:val="24"/>
          <w:szCs w:val="24"/>
        </w:rPr>
      </w:r>
    </w:p>
    <w:p>
      <w:pPr>
        <w:pStyle w:val="803"/>
        <w:numPr>
          <w:ilvl w:val="0"/>
          <w:numId w:val="32"/>
        </w:numPr>
        <w:pBdr/>
        <w:spacing w:after="0" w:line="276" w:lineRule="auto"/>
        <w:ind/>
        <w:rPr>
          <w:rFonts w:ascii="Futura PT Book" w:hAnsi="Futura PT Book"/>
          <w:sz w:val="24"/>
          <w:szCs w:val="24"/>
        </w:rPr>
      </w:pPr>
      <w:r>
        <w:rPr>
          <w:rFonts w:ascii="Futura PT Book" w:hAnsi="Futura PT Book"/>
          <w:sz w:val="24"/>
          <w:szCs w:val="24"/>
        </w:rPr>
        <w:t xml:space="preserve">Groshong – single/double lumen catheter used for delivering medication/fluids and withdrawing </w:t>
      </w:r>
      <w:r>
        <w:rPr>
          <w:rFonts w:ascii="Futura PT Book" w:hAnsi="Futura PT Book"/>
          <w:sz w:val="24"/>
          <w:szCs w:val="24"/>
        </w:rPr>
        <w:t xml:space="preserve">blood</w:t>
      </w:r>
      <w:r>
        <w:rPr>
          <w:rFonts w:ascii="Futura PT Book" w:hAnsi="Futura PT Book"/>
          <w:sz w:val="24"/>
          <w:szCs w:val="24"/>
        </w:rPr>
        <w:t xml:space="preserve"> </w:t>
      </w:r>
      <w:r>
        <w:rPr>
          <w:rFonts w:ascii="Futura PT Book" w:hAnsi="Futura PT Book"/>
          <w:sz w:val="24"/>
          <w:szCs w:val="24"/>
        </w:rPr>
      </w:r>
    </w:p>
    <w:p>
      <w:pPr>
        <w:pStyle w:val="803"/>
        <w:numPr>
          <w:ilvl w:val="0"/>
          <w:numId w:val="32"/>
        </w:numPr>
        <w:pBdr/>
        <w:spacing w:after="0" w:line="276" w:lineRule="auto"/>
        <w:ind/>
        <w:rPr>
          <w:rFonts w:ascii="Futura PT Book" w:hAnsi="Futura PT Book"/>
          <w:sz w:val="24"/>
          <w:szCs w:val="24"/>
        </w:rPr>
      </w:pPr>
      <w:r>
        <w:rPr>
          <w:rFonts w:ascii="Futura PT Book" w:hAnsi="Futura PT Book"/>
          <w:sz w:val="24"/>
          <w:szCs w:val="24"/>
        </w:rPr>
        <w:t xml:space="preserve">Raaf</w:t>
      </w:r>
      <w:r>
        <w:rPr>
          <w:rFonts w:ascii="Futura PT Book" w:hAnsi="Futura PT Book"/>
          <w:sz w:val="24"/>
          <w:szCs w:val="24"/>
        </w:rPr>
        <w:t xml:space="preserve"> – large, double lumen used for </w:t>
      </w:r>
      <w:r>
        <w:rPr>
          <w:rFonts w:ascii="Futura PT Book" w:hAnsi="Futura PT Book"/>
          <w:sz w:val="24"/>
          <w:szCs w:val="24"/>
        </w:rPr>
        <w:t xml:space="preserve">dialysis</w:t>
      </w:r>
      <w:r>
        <w:rPr>
          <w:rFonts w:ascii="Futura PT Book" w:hAnsi="Futura PT Book"/>
          <w:sz w:val="24"/>
          <w:szCs w:val="24"/>
        </w:rPr>
      </w:r>
    </w:p>
    <w:p>
      <w:pPr>
        <w:pStyle w:val="803"/>
        <w:numPr>
          <w:ilvl w:val="0"/>
          <w:numId w:val="32"/>
        </w:numPr>
        <w:pBdr/>
        <w:spacing w:after="0" w:line="276" w:lineRule="auto"/>
        <w:ind/>
        <w:rPr>
          <w:rFonts w:ascii="Futura PT Book" w:hAnsi="Futura PT Book"/>
          <w:sz w:val="24"/>
          <w:szCs w:val="24"/>
          <w:lang w:val="fr-FR"/>
        </w:rPr>
      </w:pPr>
      <w:r>
        <w:rPr>
          <w:rFonts w:ascii="Futura PT Book" w:hAnsi="Futura PT Book"/>
          <w:sz w:val="24"/>
          <w:szCs w:val="24"/>
          <w:lang w:val="fr-FR"/>
        </w:rPr>
        <w:t xml:space="preserve">Port-a-</w:t>
      </w:r>
      <w:r>
        <w:rPr>
          <w:rFonts w:ascii="Futura PT Book" w:hAnsi="Futura PT Book"/>
          <w:sz w:val="24"/>
          <w:szCs w:val="24"/>
          <w:lang w:val="fr-FR"/>
        </w:rPr>
        <w:t xml:space="preserve">cath</w:t>
      </w:r>
      <w:r>
        <w:rPr>
          <w:rFonts w:ascii="Futura PT Book" w:hAnsi="Futura PT Book"/>
          <w:sz w:val="24"/>
          <w:szCs w:val="24"/>
          <w:lang w:val="fr-FR"/>
        </w:rPr>
        <w:t xml:space="preserve"> – infusion port or </w:t>
      </w:r>
      <w:r>
        <w:rPr>
          <w:rFonts w:ascii="Futura PT Book" w:hAnsi="Futura PT Book"/>
          <w:sz w:val="24"/>
          <w:szCs w:val="24"/>
          <w:lang w:val="fr-FR"/>
        </w:rPr>
        <w:t xml:space="preserve">venous</w:t>
      </w:r>
      <w:r>
        <w:rPr>
          <w:rFonts w:ascii="Futura PT Book" w:hAnsi="Futura PT Book"/>
          <w:sz w:val="24"/>
          <w:szCs w:val="24"/>
          <w:lang w:val="fr-FR"/>
        </w:rPr>
        <w:t xml:space="preserve"> </w:t>
      </w:r>
      <w:r>
        <w:rPr>
          <w:rFonts w:ascii="Futura PT Book" w:hAnsi="Futura PT Book"/>
          <w:sz w:val="24"/>
          <w:szCs w:val="24"/>
          <w:lang w:val="fr-FR"/>
        </w:rPr>
        <w:t xml:space="preserve">access</w:t>
      </w:r>
      <w:r>
        <w:rPr>
          <w:rFonts w:ascii="Futura PT Book" w:hAnsi="Futura PT Book"/>
          <w:sz w:val="24"/>
          <w:szCs w:val="24"/>
          <w:lang w:val="fr-FR"/>
        </w:rPr>
        <w:t xml:space="preserve"> port</w:t>
      </w:r>
      <w:r>
        <w:rPr>
          <w:rFonts w:ascii="Futura PT Book" w:hAnsi="Futura PT Book"/>
          <w:sz w:val="24"/>
          <w:szCs w:val="24"/>
          <w:lang w:val="fr-FR"/>
        </w:rPr>
      </w:r>
    </w:p>
    <w:p>
      <w:pPr>
        <w:pStyle w:val="803"/>
        <w:numPr>
          <w:ilvl w:val="0"/>
          <w:numId w:val="32"/>
        </w:numPr>
        <w:pBdr/>
        <w:spacing w:after="0" w:line="276" w:lineRule="auto"/>
        <w:ind/>
        <w:rPr>
          <w:rFonts w:ascii="Futura PT Book" w:hAnsi="Futura PT Book"/>
          <w:sz w:val="24"/>
          <w:szCs w:val="24"/>
        </w:rPr>
      </w:pPr>
      <w:r>
        <w:rPr>
          <w:rFonts w:ascii="Futura PT Book" w:hAnsi="Futura PT Book"/>
          <w:sz w:val="24"/>
          <w:szCs w:val="24"/>
        </w:rPr>
        <w:t xml:space="preserve">PICC – peripherally inserted CVC for short- or long-term use, inserted through vein in arm (at or superior to the </w:t>
      </w:r>
      <w:r>
        <w:rPr>
          <w:rFonts w:ascii="Futura PT Book" w:hAnsi="Futura PT Book"/>
          <w:sz w:val="24"/>
          <w:szCs w:val="24"/>
        </w:rPr>
        <w:t xml:space="preserve">subcubital</w:t>
      </w:r>
      <w:r>
        <w:rPr>
          <w:rFonts w:ascii="Futura PT Book" w:hAnsi="Futura PT Book"/>
          <w:sz w:val="24"/>
          <w:szCs w:val="24"/>
        </w:rPr>
        <w:t xml:space="preserve"> fossa)</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Reference</w:t>
      </w:r>
      <w:r>
        <w:rPr>
          <w:rFonts w:ascii="Futura PT Book" w:hAnsi="Futura PT Book"/>
          <w:b/>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Ehrlich, R. A., &amp; </w:t>
      </w:r>
      <w:r>
        <w:rPr>
          <w:rFonts w:ascii="Futura PT Book" w:hAnsi="Futura PT Book"/>
          <w:sz w:val="24"/>
          <w:szCs w:val="24"/>
        </w:rPr>
        <w:t xml:space="preserve">Coakes</w:t>
      </w:r>
      <w:r>
        <w:rPr>
          <w:rFonts w:ascii="Futura PT Book" w:hAnsi="Futura PT Book"/>
          <w:sz w:val="24"/>
          <w:szCs w:val="24"/>
        </w:rPr>
        <w:t xml:space="preserve">, D. M. (2016). </w:t>
      </w:r>
      <w:r>
        <w:rPr>
          <w:rFonts w:ascii="Futura PT Book" w:hAnsi="Futura PT Book"/>
          <w:i/>
          <w:sz w:val="24"/>
          <w:szCs w:val="24"/>
        </w:rPr>
        <w:t xml:space="preserve">Patient care in radiography: With an introduction to medical imaging</w:t>
      </w:r>
      <w:r>
        <w:rPr>
          <w:rFonts w:ascii="Futura PT Book" w:hAnsi="Futura PT Book"/>
          <w:sz w:val="24"/>
          <w:szCs w:val="24"/>
        </w:rPr>
        <w:t xml:space="preserve"> (9th ed., pp. 384–389). St. Louis, MO: Mosby Elsevier.</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08437"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3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1">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6"/>
  </w:num>
  <w:num w:numId="2">
    <w:abstractNumId w:val="9"/>
  </w:num>
  <w:num w:numId="3">
    <w:abstractNumId w:val="30"/>
  </w:num>
  <w:num w:numId="4">
    <w:abstractNumId w:val="3"/>
  </w:num>
  <w:num w:numId="5">
    <w:abstractNumId w:val="6"/>
  </w:num>
  <w:num w:numId="6">
    <w:abstractNumId w:val="18"/>
  </w:num>
  <w:num w:numId="7">
    <w:abstractNumId w:val="31"/>
  </w:num>
  <w:num w:numId="8">
    <w:abstractNumId w:val="29"/>
  </w:num>
  <w:num w:numId="9">
    <w:abstractNumId w:val="17"/>
  </w:num>
  <w:num w:numId="10">
    <w:abstractNumId w:val="0"/>
  </w:num>
  <w:num w:numId="11">
    <w:abstractNumId w:val="2"/>
  </w:num>
  <w:num w:numId="12">
    <w:abstractNumId w:val="8"/>
  </w:num>
  <w:num w:numId="13">
    <w:abstractNumId w:val="23"/>
  </w:num>
  <w:num w:numId="14">
    <w:abstractNumId w:val="22"/>
  </w:num>
  <w:num w:numId="15">
    <w:abstractNumId w:val="10"/>
  </w:num>
  <w:num w:numId="16">
    <w:abstractNumId w:val="4"/>
  </w:num>
  <w:num w:numId="17">
    <w:abstractNumId w:val="13"/>
  </w:num>
  <w:num w:numId="18">
    <w:abstractNumId w:val="19"/>
  </w:num>
  <w:num w:numId="19">
    <w:abstractNumId w:val="24"/>
  </w:num>
  <w:num w:numId="20">
    <w:abstractNumId w:val="20"/>
  </w:num>
  <w:num w:numId="21">
    <w:abstractNumId w:val="25"/>
  </w:num>
  <w:num w:numId="22">
    <w:abstractNumId w:val="11"/>
  </w:num>
  <w:num w:numId="23">
    <w:abstractNumId w:val="15"/>
  </w:num>
  <w:num w:numId="24">
    <w:abstractNumId w:val="7"/>
  </w:num>
  <w:num w:numId="25">
    <w:abstractNumId w:val="28"/>
  </w:num>
  <w:num w:numId="26">
    <w:abstractNumId w:val="5"/>
  </w:num>
  <w:num w:numId="27">
    <w:abstractNumId w:val="12"/>
  </w:num>
  <w:num w:numId="28">
    <w:abstractNumId w:val="27"/>
  </w:num>
  <w:num w:numId="29">
    <w:abstractNumId w:val="14"/>
  </w:num>
  <w:num w:numId="30">
    <w:abstractNumId w:val="21"/>
  </w:num>
  <w:num w:numId="31">
    <w:abstractNumId w:val="2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8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8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8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8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8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8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8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8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8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8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8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8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8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8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8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8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8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8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8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8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8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8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8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8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8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8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8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81"/>
    <w:next w:val="78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81"/>
    <w:next w:val="78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81"/>
    <w:next w:val="78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81"/>
    <w:next w:val="78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81"/>
    <w:next w:val="78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81"/>
    <w:next w:val="78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85"/>
    <w:link w:val="141"/>
    <w:uiPriority w:val="9"/>
    <w:pPr>
      <w:pBdr/>
      <w:spacing/>
      <w:ind/>
    </w:pPr>
    <w:rPr>
      <w:rFonts w:ascii="Arial" w:hAnsi="Arial" w:eastAsia="Arial" w:cs="Arial"/>
      <w:i/>
      <w:iCs/>
      <w:color w:val="0f4761" w:themeColor="accent1" w:themeShade="BF"/>
    </w:rPr>
  </w:style>
  <w:style w:type="character" w:styleId="153">
    <w:name w:val="Heading 5 Char"/>
    <w:basedOn w:val="785"/>
    <w:link w:val="142"/>
    <w:uiPriority w:val="9"/>
    <w:pPr>
      <w:pBdr/>
      <w:spacing/>
      <w:ind/>
    </w:pPr>
    <w:rPr>
      <w:rFonts w:ascii="Arial" w:hAnsi="Arial" w:eastAsia="Arial" w:cs="Arial"/>
      <w:color w:val="0f4761" w:themeColor="accent1" w:themeShade="BF"/>
    </w:rPr>
  </w:style>
  <w:style w:type="character" w:styleId="154">
    <w:name w:val="Heading 6 Char"/>
    <w:basedOn w:val="785"/>
    <w:link w:val="143"/>
    <w:uiPriority w:val="9"/>
    <w:pPr>
      <w:pBdr/>
      <w:spacing/>
      <w:ind/>
    </w:pPr>
    <w:rPr>
      <w:rFonts w:ascii="Arial" w:hAnsi="Arial" w:eastAsia="Arial" w:cs="Arial"/>
      <w:i/>
      <w:iCs/>
      <w:color w:val="595959" w:themeColor="text1" w:themeTint="A6"/>
    </w:rPr>
  </w:style>
  <w:style w:type="character" w:styleId="155">
    <w:name w:val="Heading 7 Char"/>
    <w:basedOn w:val="785"/>
    <w:link w:val="144"/>
    <w:uiPriority w:val="9"/>
    <w:pPr>
      <w:pBdr/>
      <w:spacing/>
      <w:ind/>
    </w:pPr>
    <w:rPr>
      <w:rFonts w:ascii="Arial" w:hAnsi="Arial" w:eastAsia="Arial" w:cs="Arial"/>
      <w:color w:val="595959" w:themeColor="text1" w:themeTint="A6"/>
    </w:rPr>
  </w:style>
  <w:style w:type="character" w:styleId="156">
    <w:name w:val="Heading 8 Char"/>
    <w:basedOn w:val="785"/>
    <w:link w:val="145"/>
    <w:uiPriority w:val="9"/>
    <w:pPr>
      <w:pBdr/>
      <w:spacing/>
      <w:ind/>
    </w:pPr>
    <w:rPr>
      <w:rFonts w:ascii="Arial" w:hAnsi="Arial" w:eastAsia="Arial" w:cs="Arial"/>
      <w:i/>
      <w:iCs/>
      <w:color w:val="272727" w:themeColor="text1" w:themeTint="D8"/>
    </w:rPr>
  </w:style>
  <w:style w:type="character" w:styleId="157">
    <w:name w:val="Heading 9 Char"/>
    <w:basedOn w:val="785"/>
    <w:link w:val="146"/>
    <w:uiPriority w:val="9"/>
    <w:pPr>
      <w:pBdr/>
      <w:spacing/>
      <w:ind/>
    </w:pPr>
    <w:rPr>
      <w:rFonts w:ascii="Arial" w:hAnsi="Arial" w:eastAsia="Arial" w:cs="Arial"/>
      <w:i/>
      <w:iCs/>
      <w:color w:val="272727" w:themeColor="text1" w:themeTint="D8"/>
    </w:rPr>
  </w:style>
  <w:style w:type="paragraph" w:styleId="158">
    <w:name w:val="Title"/>
    <w:basedOn w:val="781"/>
    <w:next w:val="78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85"/>
    <w:link w:val="158"/>
    <w:uiPriority w:val="10"/>
    <w:pPr>
      <w:pBdr/>
      <w:spacing/>
      <w:ind/>
    </w:pPr>
    <w:rPr>
      <w:rFonts w:ascii="Arial" w:hAnsi="Arial" w:eastAsia="Arial" w:cs="Arial"/>
      <w:spacing w:val="-10"/>
      <w:sz w:val="56"/>
      <w:szCs w:val="56"/>
    </w:rPr>
  </w:style>
  <w:style w:type="paragraph" w:styleId="160">
    <w:name w:val="Subtitle"/>
    <w:basedOn w:val="781"/>
    <w:next w:val="781"/>
    <w:link w:val="161"/>
    <w:uiPriority w:val="11"/>
    <w:qFormat/>
    <w:pPr>
      <w:numPr>
        <w:ilvl w:val="1"/>
      </w:numPr>
      <w:pBdr/>
      <w:spacing/>
      <w:ind/>
    </w:pPr>
    <w:rPr>
      <w:color w:val="595959" w:themeColor="text1" w:themeTint="A6"/>
      <w:spacing w:val="15"/>
      <w:sz w:val="28"/>
      <w:szCs w:val="28"/>
    </w:rPr>
  </w:style>
  <w:style w:type="character" w:styleId="161">
    <w:name w:val="Subtitle Char"/>
    <w:basedOn w:val="785"/>
    <w:link w:val="160"/>
    <w:uiPriority w:val="11"/>
    <w:pPr>
      <w:pBdr/>
      <w:spacing/>
      <w:ind/>
    </w:pPr>
    <w:rPr>
      <w:color w:val="595959" w:themeColor="text1" w:themeTint="A6"/>
      <w:spacing w:val="15"/>
      <w:sz w:val="28"/>
      <w:szCs w:val="28"/>
    </w:rPr>
  </w:style>
  <w:style w:type="paragraph" w:styleId="162">
    <w:name w:val="Quote"/>
    <w:basedOn w:val="781"/>
    <w:next w:val="781"/>
    <w:link w:val="163"/>
    <w:uiPriority w:val="29"/>
    <w:qFormat/>
    <w:pPr>
      <w:pBdr/>
      <w:spacing w:before="160"/>
      <w:ind/>
      <w:jc w:val="center"/>
    </w:pPr>
    <w:rPr>
      <w:i/>
      <w:iCs/>
      <w:color w:val="404040" w:themeColor="text1" w:themeTint="BF"/>
    </w:rPr>
  </w:style>
  <w:style w:type="character" w:styleId="163">
    <w:name w:val="Quote Char"/>
    <w:basedOn w:val="785"/>
    <w:link w:val="162"/>
    <w:uiPriority w:val="29"/>
    <w:pPr>
      <w:pBdr/>
      <w:spacing/>
      <w:ind/>
    </w:pPr>
    <w:rPr>
      <w:i/>
      <w:iCs/>
      <w:color w:val="404040" w:themeColor="text1" w:themeTint="BF"/>
    </w:rPr>
  </w:style>
  <w:style w:type="character" w:styleId="165">
    <w:name w:val="Intense Emphasis"/>
    <w:basedOn w:val="785"/>
    <w:uiPriority w:val="21"/>
    <w:qFormat/>
    <w:pPr>
      <w:pBdr/>
      <w:spacing/>
      <w:ind/>
    </w:pPr>
    <w:rPr>
      <w:i/>
      <w:iCs/>
      <w:color w:val="0f4761" w:themeColor="accent1" w:themeShade="BF"/>
    </w:rPr>
  </w:style>
  <w:style w:type="paragraph" w:styleId="166">
    <w:name w:val="Intense Quote"/>
    <w:basedOn w:val="781"/>
    <w:next w:val="78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85"/>
    <w:link w:val="166"/>
    <w:uiPriority w:val="30"/>
    <w:pPr>
      <w:pBdr/>
      <w:spacing/>
      <w:ind/>
    </w:pPr>
    <w:rPr>
      <w:i/>
      <w:iCs/>
      <w:color w:val="0f4761" w:themeColor="accent1" w:themeShade="BF"/>
    </w:rPr>
  </w:style>
  <w:style w:type="character" w:styleId="168">
    <w:name w:val="Intense Reference"/>
    <w:basedOn w:val="785"/>
    <w:uiPriority w:val="32"/>
    <w:qFormat/>
    <w:pPr>
      <w:pBdr/>
      <w:spacing/>
      <w:ind/>
    </w:pPr>
    <w:rPr>
      <w:b/>
      <w:bCs/>
      <w:smallCaps/>
      <w:color w:val="0f4761" w:themeColor="accent1" w:themeShade="BF"/>
      <w:spacing w:val="5"/>
    </w:rPr>
  </w:style>
  <w:style w:type="character" w:styleId="170">
    <w:name w:val="Subtle Emphasis"/>
    <w:basedOn w:val="785"/>
    <w:uiPriority w:val="19"/>
    <w:qFormat/>
    <w:pPr>
      <w:pBdr/>
      <w:spacing/>
      <w:ind/>
    </w:pPr>
    <w:rPr>
      <w:i/>
      <w:iCs/>
      <w:color w:val="404040" w:themeColor="text1" w:themeTint="BF"/>
    </w:rPr>
  </w:style>
  <w:style w:type="character" w:styleId="171">
    <w:name w:val="Emphasis"/>
    <w:basedOn w:val="785"/>
    <w:uiPriority w:val="20"/>
    <w:qFormat/>
    <w:pPr>
      <w:pBdr/>
      <w:spacing/>
      <w:ind/>
    </w:pPr>
    <w:rPr>
      <w:i/>
      <w:iCs/>
    </w:rPr>
  </w:style>
  <w:style w:type="character" w:styleId="172">
    <w:name w:val="Strong"/>
    <w:basedOn w:val="785"/>
    <w:uiPriority w:val="22"/>
    <w:qFormat/>
    <w:pPr>
      <w:pBdr/>
      <w:spacing/>
      <w:ind/>
    </w:pPr>
    <w:rPr>
      <w:b/>
      <w:bCs/>
    </w:rPr>
  </w:style>
  <w:style w:type="character" w:styleId="173">
    <w:name w:val="Subtle Reference"/>
    <w:basedOn w:val="785"/>
    <w:uiPriority w:val="31"/>
    <w:qFormat/>
    <w:pPr>
      <w:pBdr/>
      <w:spacing/>
      <w:ind/>
    </w:pPr>
    <w:rPr>
      <w:smallCaps/>
      <w:color w:val="5a5a5a" w:themeColor="text1" w:themeTint="A5"/>
    </w:rPr>
  </w:style>
  <w:style w:type="character" w:styleId="174">
    <w:name w:val="Book Title"/>
    <w:basedOn w:val="785"/>
    <w:uiPriority w:val="33"/>
    <w:qFormat/>
    <w:pPr>
      <w:pBdr/>
      <w:spacing/>
      <w:ind/>
    </w:pPr>
    <w:rPr>
      <w:b/>
      <w:bCs/>
      <w:i/>
      <w:iCs/>
      <w:spacing w:val="5"/>
    </w:rPr>
  </w:style>
  <w:style w:type="paragraph" w:styleId="179">
    <w:name w:val="Caption"/>
    <w:basedOn w:val="781"/>
    <w:next w:val="781"/>
    <w:uiPriority w:val="35"/>
    <w:unhideWhenUsed/>
    <w:qFormat/>
    <w:pPr>
      <w:pBdr/>
      <w:spacing w:after="200" w:line="240" w:lineRule="auto"/>
      <w:ind/>
    </w:pPr>
    <w:rPr>
      <w:i/>
      <w:iCs/>
      <w:color w:val="0e2841" w:themeColor="text2"/>
      <w:sz w:val="18"/>
      <w:szCs w:val="18"/>
    </w:rPr>
  </w:style>
  <w:style w:type="paragraph" w:styleId="180">
    <w:name w:val="footnote text"/>
    <w:basedOn w:val="781"/>
    <w:link w:val="181"/>
    <w:uiPriority w:val="99"/>
    <w:semiHidden/>
    <w:unhideWhenUsed/>
    <w:pPr>
      <w:pBdr/>
      <w:spacing w:after="0" w:line="240" w:lineRule="auto"/>
      <w:ind/>
    </w:pPr>
    <w:rPr>
      <w:sz w:val="20"/>
      <w:szCs w:val="20"/>
    </w:rPr>
  </w:style>
  <w:style w:type="character" w:styleId="181">
    <w:name w:val="Footnote Text Char"/>
    <w:basedOn w:val="785"/>
    <w:link w:val="180"/>
    <w:uiPriority w:val="99"/>
    <w:semiHidden/>
    <w:pPr>
      <w:pBdr/>
      <w:spacing/>
      <w:ind/>
    </w:pPr>
    <w:rPr>
      <w:sz w:val="20"/>
      <w:szCs w:val="20"/>
    </w:rPr>
  </w:style>
  <w:style w:type="character" w:styleId="182">
    <w:name w:val="footnote reference"/>
    <w:basedOn w:val="785"/>
    <w:uiPriority w:val="99"/>
    <w:semiHidden/>
    <w:unhideWhenUsed/>
    <w:pPr>
      <w:pBdr/>
      <w:spacing/>
      <w:ind/>
    </w:pPr>
    <w:rPr>
      <w:vertAlign w:val="superscript"/>
    </w:rPr>
  </w:style>
  <w:style w:type="paragraph" w:styleId="183">
    <w:name w:val="endnote text"/>
    <w:basedOn w:val="781"/>
    <w:link w:val="184"/>
    <w:uiPriority w:val="99"/>
    <w:semiHidden/>
    <w:unhideWhenUsed/>
    <w:pPr>
      <w:pBdr/>
      <w:spacing w:after="0" w:line="240" w:lineRule="auto"/>
      <w:ind/>
    </w:pPr>
    <w:rPr>
      <w:sz w:val="20"/>
      <w:szCs w:val="20"/>
    </w:rPr>
  </w:style>
  <w:style w:type="character" w:styleId="184">
    <w:name w:val="Endnote Text Char"/>
    <w:basedOn w:val="785"/>
    <w:link w:val="183"/>
    <w:uiPriority w:val="99"/>
    <w:semiHidden/>
    <w:pPr>
      <w:pBdr/>
      <w:spacing/>
      <w:ind/>
    </w:pPr>
    <w:rPr>
      <w:sz w:val="20"/>
      <w:szCs w:val="20"/>
    </w:rPr>
  </w:style>
  <w:style w:type="character" w:styleId="185">
    <w:name w:val="endnote reference"/>
    <w:basedOn w:val="785"/>
    <w:uiPriority w:val="99"/>
    <w:semiHidden/>
    <w:unhideWhenUsed/>
    <w:pPr>
      <w:pBdr/>
      <w:spacing/>
      <w:ind/>
    </w:pPr>
    <w:rPr>
      <w:vertAlign w:val="superscript"/>
    </w:rPr>
  </w:style>
  <w:style w:type="character" w:styleId="186">
    <w:name w:val="Hyperlink"/>
    <w:basedOn w:val="785"/>
    <w:uiPriority w:val="99"/>
    <w:unhideWhenUsed/>
    <w:pPr>
      <w:pBdr/>
      <w:spacing/>
      <w:ind/>
    </w:pPr>
    <w:rPr>
      <w:color w:val="0563c1" w:themeColor="hyperlink"/>
      <w:u w:val="single"/>
    </w:rPr>
  </w:style>
  <w:style w:type="character" w:styleId="187">
    <w:name w:val="FollowedHyperlink"/>
    <w:basedOn w:val="785"/>
    <w:uiPriority w:val="99"/>
    <w:semiHidden/>
    <w:unhideWhenUsed/>
    <w:pPr>
      <w:pBdr/>
      <w:spacing/>
      <w:ind/>
    </w:pPr>
    <w:rPr>
      <w:color w:val="954f72" w:themeColor="followedHyperlink"/>
      <w:u w:val="single"/>
    </w:rPr>
  </w:style>
  <w:style w:type="paragraph" w:styleId="188">
    <w:name w:val="toc 1"/>
    <w:basedOn w:val="781"/>
    <w:next w:val="781"/>
    <w:uiPriority w:val="39"/>
    <w:unhideWhenUsed/>
    <w:pPr>
      <w:pBdr/>
      <w:spacing w:after="100"/>
      <w:ind/>
    </w:pPr>
  </w:style>
  <w:style w:type="paragraph" w:styleId="189">
    <w:name w:val="toc 2"/>
    <w:basedOn w:val="781"/>
    <w:next w:val="781"/>
    <w:uiPriority w:val="39"/>
    <w:unhideWhenUsed/>
    <w:pPr>
      <w:pBdr/>
      <w:spacing w:after="100"/>
      <w:ind w:left="220"/>
    </w:pPr>
  </w:style>
  <w:style w:type="paragraph" w:styleId="190">
    <w:name w:val="toc 3"/>
    <w:basedOn w:val="781"/>
    <w:next w:val="781"/>
    <w:uiPriority w:val="39"/>
    <w:unhideWhenUsed/>
    <w:pPr>
      <w:pBdr/>
      <w:spacing w:after="100"/>
      <w:ind w:left="440"/>
    </w:pPr>
  </w:style>
  <w:style w:type="paragraph" w:styleId="191">
    <w:name w:val="toc 4"/>
    <w:basedOn w:val="781"/>
    <w:next w:val="781"/>
    <w:uiPriority w:val="39"/>
    <w:unhideWhenUsed/>
    <w:pPr>
      <w:pBdr/>
      <w:spacing w:after="100"/>
      <w:ind w:left="660"/>
    </w:pPr>
  </w:style>
  <w:style w:type="paragraph" w:styleId="192">
    <w:name w:val="toc 5"/>
    <w:basedOn w:val="781"/>
    <w:next w:val="781"/>
    <w:uiPriority w:val="39"/>
    <w:unhideWhenUsed/>
    <w:pPr>
      <w:pBdr/>
      <w:spacing w:after="100"/>
      <w:ind w:left="880"/>
    </w:pPr>
  </w:style>
  <w:style w:type="paragraph" w:styleId="193">
    <w:name w:val="toc 6"/>
    <w:basedOn w:val="781"/>
    <w:next w:val="781"/>
    <w:uiPriority w:val="39"/>
    <w:unhideWhenUsed/>
    <w:pPr>
      <w:pBdr/>
      <w:spacing w:after="100"/>
      <w:ind w:left="1100"/>
    </w:pPr>
  </w:style>
  <w:style w:type="paragraph" w:styleId="194">
    <w:name w:val="toc 7"/>
    <w:basedOn w:val="781"/>
    <w:next w:val="781"/>
    <w:uiPriority w:val="39"/>
    <w:unhideWhenUsed/>
    <w:pPr>
      <w:pBdr/>
      <w:spacing w:after="100"/>
      <w:ind w:left="1320"/>
    </w:pPr>
  </w:style>
  <w:style w:type="paragraph" w:styleId="195">
    <w:name w:val="toc 8"/>
    <w:basedOn w:val="781"/>
    <w:next w:val="781"/>
    <w:uiPriority w:val="39"/>
    <w:unhideWhenUsed/>
    <w:pPr>
      <w:pBdr/>
      <w:spacing w:after="100"/>
      <w:ind w:left="1540"/>
    </w:pPr>
  </w:style>
  <w:style w:type="paragraph" w:styleId="196">
    <w:name w:val="toc 9"/>
    <w:basedOn w:val="781"/>
    <w:next w:val="78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81"/>
    <w:next w:val="781"/>
    <w:uiPriority w:val="99"/>
    <w:unhideWhenUsed/>
    <w:pPr>
      <w:pBdr/>
      <w:spacing w:after="0" w:afterAutospacing="0"/>
      <w:ind/>
    </w:pPr>
  </w:style>
  <w:style w:type="paragraph" w:styleId="781" w:default="1">
    <w:name w:val="Normal"/>
    <w:qFormat/>
    <w:pPr>
      <w:pBdr/>
      <w:spacing/>
      <w:ind/>
    </w:pPr>
  </w:style>
  <w:style w:type="paragraph" w:styleId="782">
    <w:name w:val="Heading 1"/>
    <w:basedOn w:val="781"/>
    <w:link w:val="79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83">
    <w:name w:val="Heading 2"/>
    <w:basedOn w:val="781"/>
    <w:next w:val="781"/>
    <w:link w:val="796"/>
    <w:qFormat/>
    <w:pPr>
      <w:keepNext w:val="true"/>
      <w:pBdr/>
      <w:spacing w:after="0" w:line="240" w:lineRule="auto"/>
      <w:ind/>
      <w:jc w:val="center"/>
      <w:outlineLvl w:val="1"/>
    </w:pPr>
    <w:rPr>
      <w:rFonts w:ascii="Arial" w:hAnsi="Arial" w:eastAsia="SimSun" w:cs="Arial"/>
      <w:b/>
      <w:bCs/>
      <w:sz w:val="24"/>
      <w:szCs w:val="24"/>
      <w:lang w:val="en-US"/>
    </w:rPr>
  </w:style>
  <w:style w:type="paragraph" w:styleId="784">
    <w:name w:val="Heading 3"/>
    <w:basedOn w:val="781"/>
    <w:next w:val="781"/>
    <w:link w:val="80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85" w:default="1">
    <w:name w:val="Default Paragraph Font"/>
    <w:uiPriority w:val="1"/>
    <w:semiHidden/>
    <w:unhideWhenUsed/>
    <w:pPr>
      <w:pBdr/>
      <w:spacing/>
      <w:ind/>
    </w:pPr>
  </w:style>
  <w:style w:type="table" w:styleId="78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7" w:default="1">
    <w:name w:val="No List"/>
    <w:uiPriority w:val="99"/>
    <w:semiHidden/>
    <w:unhideWhenUsed/>
    <w:pPr>
      <w:pBdr/>
      <w:spacing/>
      <w:ind/>
    </w:pPr>
  </w:style>
  <w:style w:type="paragraph" w:styleId="788">
    <w:name w:val="Header"/>
    <w:basedOn w:val="781"/>
    <w:link w:val="789"/>
    <w:uiPriority w:val="99"/>
    <w:unhideWhenUsed/>
    <w:pPr>
      <w:pBdr/>
      <w:tabs>
        <w:tab w:val="center" w:leader="none" w:pos="4680"/>
        <w:tab w:val="right" w:leader="none" w:pos="9360"/>
      </w:tabs>
      <w:spacing w:after="0" w:line="240" w:lineRule="auto"/>
      <w:ind/>
    </w:pPr>
  </w:style>
  <w:style w:type="character" w:styleId="789" w:customStyle="1">
    <w:name w:val="Header Char"/>
    <w:basedOn w:val="785"/>
    <w:link w:val="788"/>
    <w:uiPriority w:val="99"/>
    <w:pPr>
      <w:pBdr/>
      <w:spacing/>
      <w:ind/>
    </w:pPr>
  </w:style>
  <w:style w:type="paragraph" w:styleId="790">
    <w:name w:val="Footer"/>
    <w:basedOn w:val="781"/>
    <w:link w:val="791"/>
    <w:uiPriority w:val="99"/>
    <w:unhideWhenUsed/>
    <w:pPr>
      <w:pBdr/>
      <w:tabs>
        <w:tab w:val="center" w:leader="none" w:pos="4680"/>
        <w:tab w:val="right" w:leader="none" w:pos="9360"/>
      </w:tabs>
      <w:spacing w:after="0" w:line="240" w:lineRule="auto"/>
      <w:ind/>
    </w:pPr>
  </w:style>
  <w:style w:type="character" w:styleId="791" w:customStyle="1">
    <w:name w:val="Footer Char"/>
    <w:basedOn w:val="785"/>
    <w:link w:val="790"/>
    <w:uiPriority w:val="99"/>
    <w:pPr>
      <w:pBdr/>
      <w:spacing/>
      <w:ind/>
    </w:pPr>
  </w:style>
  <w:style w:type="table" w:styleId="792" w:customStyle="1">
    <w:name w:val="Proposal Table"/>
    <w:basedOn w:val="78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3">
    <w:name w:val="Placeholder Text"/>
    <w:basedOn w:val="785"/>
    <w:uiPriority w:val="99"/>
    <w:semiHidden/>
    <w:pPr>
      <w:pBdr/>
      <w:spacing/>
      <w:ind/>
    </w:pPr>
    <w:rPr>
      <w:color w:val="595959" w:themeColor="text1" w:themeTint="A6"/>
    </w:rPr>
  </w:style>
  <w:style w:type="paragraph" w:styleId="794">
    <w:name w:val="Normal (Web)"/>
    <w:basedOn w:val="78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95" w:customStyle="1">
    <w:name w:val="Heading 1 Char"/>
    <w:basedOn w:val="785"/>
    <w:link w:val="782"/>
    <w:uiPriority w:val="9"/>
    <w:pPr>
      <w:pBdr/>
      <w:spacing/>
      <w:ind/>
    </w:pPr>
    <w:rPr>
      <w:rFonts w:ascii="Arial" w:hAnsi="Arial" w:eastAsia="Arial" w:cs="Arial"/>
      <w:b/>
      <w:bCs/>
      <w:sz w:val="18"/>
      <w:szCs w:val="18"/>
      <w:lang w:val="en-US"/>
    </w:rPr>
  </w:style>
  <w:style w:type="character" w:styleId="796" w:customStyle="1">
    <w:name w:val="Heading 2 Char"/>
    <w:basedOn w:val="785"/>
    <w:link w:val="783"/>
    <w:pPr>
      <w:pBdr/>
      <w:spacing/>
      <w:ind/>
    </w:pPr>
    <w:rPr>
      <w:rFonts w:ascii="Arial" w:hAnsi="Arial" w:eastAsia="SimSun" w:cs="Arial"/>
      <w:b/>
      <w:bCs/>
      <w:sz w:val="24"/>
      <w:szCs w:val="24"/>
      <w:lang w:val="en-US"/>
    </w:rPr>
  </w:style>
  <w:style w:type="table" w:styleId="797">
    <w:name w:val="Table Grid"/>
    <w:basedOn w:val="78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8">
    <w:name w:val="Body Text"/>
    <w:basedOn w:val="781"/>
    <w:link w:val="799"/>
    <w:qFormat/>
    <w:pPr>
      <w:widowControl w:val="false"/>
      <w:pBdr/>
      <w:spacing w:after="0" w:line="240" w:lineRule="auto"/>
      <w:ind w:hanging="360" w:left="462"/>
    </w:pPr>
    <w:rPr>
      <w:rFonts w:ascii="Cambria" w:hAnsi="Cambria" w:eastAsia="Cambria"/>
      <w:lang w:val="en-US"/>
    </w:rPr>
  </w:style>
  <w:style w:type="character" w:styleId="799" w:customStyle="1">
    <w:name w:val="Body Text Char"/>
    <w:basedOn w:val="785"/>
    <w:link w:val="798"/>
    <w:pPr>
      <w:pBdr/>
      <w:spacing/>
      <w:ind/>
    </w:pPr>
    <w:rPr>
      <w:rFonts w:ascii="Cambria" w:hAnsi="Cambria" w:eastAsia="Cambria"/>
      <w:lang w:val="en-US"/>
    </w:rPr>
  </w:style>
  <w:style w:type="paragraph" w:styleId="800" w:customStyle="1">
    <w:name w:val="Table Paragraph"/>
    <w:basedOn w:val="781"/>
    <w:uiPriority w:val="1"/>
    <w:qFormat/>
    <w:pPr>
      <w:widowControl w:val="false"/>
      <w:pBdr/>
      <w:spacing w:after="0" w:line="240" w:lineRule="auto"/>
      <w:ind/>
    </w:pPr>
    <w:rPr>
      <w:lang w:val="en-US"/>
    </w:rPr>
  </w:style>
  <w:style w:type="paragraph" w:styleId="801">
    <w:name w:val="No Spacing"/>
    <w:link w:val="802"/>
    <w:uiPriority w:val="1"/>
    <w:qFormat/>
    <w:pPr>
      <w:pBdr/>
      <w:spacing w:after="0" w:line="240" w:lineRule="auto"/>
      <w:ind/>
    </w:pPr>
    <w:rPr>
      <w:lang w:val="en-US"/>
    </w:rPr>
  </w:style>
  <w:style w:type="character" w:styleId="802" w:customStyle="1">
    <w:name w:val="No Spacing Char"/>
    <w:link w:val="801"/>
    <w:uiPriority w:val="1"/>
    <w:pPr>
      <w:pBdr/>
      <w:spacing/>
      <w:ind/>
    </w:pPr>
    <w:rPr>
      <w:lang w:val="en-US"/>
    </w:rPr>
  </w:style>
  <w:style w:type="paragraph" w:styleId="803">
    <w:name w:val="List Paragraph"/>
    <w:basedOn w:val="781"/>
    <w:uiPriority w:val="34"/>
    <w:qFormat/>
    <w:pPr>
      <w:pBdr/>
      <w:spacing/>
      <w:ind w:left="720"/>
      <w:contextualSpacing w:val="true"/>
    </w:pPr>
  </w:style>
  <w:style w:type="character" w:styleId="804" w:customStyle="1">
    <w:name w:val="Heading 3 Char"/>
    <w:basedOn w:val="785"/>
    <w:link w:val="78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05"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097DF3-5AA7-4A4A-8670-350C252723FB}"/>
</file>

<file path=customXml/itemProps2.xml><?xml version="1.0" encoding="utf-8"?>
<ds:datastoreItem xmlns:ds="http://schemas.openxmlformats.org/officeDocument/2006/customXml" ds:itemID="{4920D0D8-1696-4084-A5BF-1080DF2E595F}"/>
</file>

<file path=customXml/itemProps3.xml><?xml version="1.0" encoding="utf-8"?>
<ds:datastoreItem xmlns:ds="http://schemas.openxmlformats.org/officeDocument/2006/customXml" ds:itemID="{26BA5B29-179F-4EB2-8CBF-C74E0F41956B}"/>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